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8E74">
      <w:pPr>
        <w:pStyle w:val="4"/>
        <w:pageBreakBefore w:val="0"/>
        <w:tabs>
          <w:tab w:val="left" w:pos="5440"/>
        </w:tabs>
        <w:kinsoku/>
        <w:wordWrap/>
        <w:overflowPunct/>
        <w:topLinePunct w:val="0"/>
        <w:bidi w:val="0"/>
        <w:spacing w:beforeLines="0" w:afterLines="0" w:line="560" w:lineRule="exact"/>
        <w:ind w:left="0" w:leftChars="0"/>
        <w:jc w:val="both"/>
        <w:textAlignment w:val="auto"/>
        <w:rPr>
          <w:rFonts w:hint="eastAsia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附件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/>
          <w:sz w:val="32"/>
          <w:szCs w:val="32"/>
          <w:shd w:val="clear" w:color="auto" w:fill="FFFFFF"/>
        </w:rPr>
        <w:t>：</w:t>
      </w:r>
    </w:p>
    <w:p w14:paraId="5F6855E8">
      <w:pPr>
        <w:pStyle w:val="4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年重点领域科技攻关项目申报指南</w:t>
      </w:r>
    </w:p>
    <w:p w14:paraId="0221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一、重点支持领域和方向</w:t>
      </w:r>
    </w:p>
    <w:p w14:paraId="2C153275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（一）农业领域</w:t>
      </w:r>
    </w:p>
    <w:p w14:paraId="51447158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坚持走“稳粮、优棉、精果、强畜、兴特色”之路，持续完善“政产学研金服用”科技成果转化体系，推动师市农业企业集群发展壮大，</w:t>
      </w:r>
      <w:r>
        <w:rPr>
          <w:rFonts w:hint="default" w:ascii="Times New Roman" w:hAnsi="Times New Roman" w:cs="Times New Roman"/>
          <w:color w:val="auto"/>
          <w:szCs w:val="32"/>
        </w:rPr>
        <w:t>发挥大农业优势，</w:t>
      </w:r>
      <w:r>
        <w:rPr>
          <w:rFonts w:hint="eastAsia" w:cs="Times New Roman"/>
          <w:color w:val="auto"/>
          <w:szCs w:val="32"/>
          <w:lang w:val="en-US" w:eastAsia="zh-CN"/>
        </w:rPr>
        <w:t>推动产业结构调整和转型升级，培育新兴产业和未来产业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2C5638A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种质资源创新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围绕</w:t>
      </w:r>
      <w:r>
        <w:rPr>
          <w:rFonts w:hint="eastAsia" w:cs="Times New Roman"/>
          <w:color w:val="auto"/>
          <w:szCs w:val="32"/>
          <w:lang w:val="en-US" w:eastAsia="zh-CN"/>
        </w:rPr>
        <w:t>棉花等优势作物和产业发展，面向高光效、耐高低温、适机适饲、节水（药肥）、适早播、适纺适加工等功能发掘利用，加强跨地区（国）多源种质材料引进筛选，加强黄萎病、根瘤致病菌等遗传分析和抗病育种技术研究，开展先进种质资源创新与基因工程等技术应用，强化规模化高产创建关键技术研究与组装配套，建设示范基地集成应用推广，开展中长绒棉、大豆、花生、玉米、黑猪等优特新品类引育与试验示范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0F816C52"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种养殖绿色高效清洁生产技术研究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eastAsia" w:cs="Times New Roman"/>
          <w:color w:val="auto"/>
          <w:szCs w:val="32"/>
          <w:lang w:val="en-US" w:eastAsia="zh-CN"/>
        </w:rPr>
        <w:t>以规模化生产管理为主要方向，加强棉花、葡萄、奶牛等先进生产管理技术装备与感知传输计算决策输出技术结合，围绕人工智能、遥感、田间载具支架、精量灌溉、节药节肥等关键环节加强技术熟化和系统性应用研究，</w:t>
      </w:r>
      <w:r>
        <w:rPr>
          <w:rFonts w:hint="default" w:cs="Times New Roman"/>
          <w:color w:val="auto"/>
          <w:szCs w:val="32"/>
          <w:lang w:val="en-US" w:eastAsia="zh-CN"/>
        </w:rPr>
        <w:t>推进</w:t>
      </w:r>
      <w:r>
        <w:rPr>
          <w:rFonts w:hint="eastAsia" w:cs="Times New Roman"/>
          <w:color w:val="auto"/>
          <w:szCs w:val="32"/>
          <w:lang w:val="en-US" w:eastAsia="zh-CN"/>
        </w:rPr>
        <w:t>大田秸秆残枝（叶）残膜等废弃物评估、处理与循环利用</w:t>
      </w:r>
      <w:r>
        <w:rPr>
          <w:rFonts w:hint="default" w:cs="Times New Roman"/>
          <w:color w:val="auto"/>
          <w:szCs w:val="32"/>
          <w:lang w:val="en-US" w:eastAsia="zh-CN"/>
        </w:rPr>
        <w:t>技术</w:t>
      </w:r>
      <w:r>
        <w:rPr>
          <w:rFonts w:hint="eastAsia" w:cs="Times New Roman"/>
          <w:color w:val="auto"/>
          <w:szCs w:val="32"/>
          <w:lang w:val="en-US" w:eastAsia="zh-CN"/>
        </w:rPr>
        <w:t>和装备集成示范，支持环境友好型肥料等清洁生产要素研发应用。</w:t>
      </w:r>
    </w:p>
    <w:p w14:paraId="167504DE">
      <w:pPr>
        <w:pStyle w:val="19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. 农业基层</w:t>
      </w:r>
      <w:r>
        <w:rPr>
          <w:rFonts w:hint="eastAsia" w:cs="Times New Roman"/>
          <w:b/>
          <w:bCs/>
          <w:color w:val="auto"/>
          <w:szCs w:val="32"/>
          <w:lang w:val="en-US" w:eastAsia="zh-CN"/>
        </w:rPr>
        <w:t>先进适用技术研究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以市场化驱动和公共服务供给为主线，</w:t>
      </w:r>
      <w:r>
        <w:rPr>
          <w:rFonts w:hint="eastAsia" w:cs="Times New Roman"/>
          <w:color w:val="auto"/>
          <w:szCs w:val="32"/>
          <w:lang w:val="en-US" w:eastAsia="zh-CN"/>
        </w:rPr>
        <w:t>鼓励科研机构、企业以优势作物骨干团场为基地，参考专家大院等建设模式，以优良品种、高产栽培、节水装备、智能农机、农资农具、设施园艺等为重点，加强先进科技成果优化熟化、配套技术及装备等组装组合，研究一批可靠耐用、简便易用、效益突出的成熟技术包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bookmarkStart w:id="0" w:name="_GoBack"/>
      <w:bookmarkEnd w:id="0"/>
    </w:p>
    <w:p w14:paraId="1C61E392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（</w:t>
      </w:r>
      <w:r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）社会发展领域</w:t>
      </w:r>
    </w:p>
    <w:p w14:paraId="526D2520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支持</w:t>
      </w:r>
      <w:r>
        <w:rPr>
          <w:rFonts w:hint="eastAsia" w:cs="Times New Roman"/>
          <w:color w:val="auto"/>
          <w:szCs w:val="32"/>
          <w:lang w:val="en-US" w:eastAsia="zh-CN"/>
        </w:rPr>
        <w:t>落实</w:t>
      </w:r>
      <w:r>
        <w:rPr>
          <w:rFonts w:hint="default" w:ascii="Times New Roman" w:hAnsi="Times New Roman" w:cs="Times New Roman"/>
          <w:color w:val="auto"/>
          <w:szCs w:val="32"/>
        </w:rPr>
        <w:t>健康石城</w:t>
      </w:r>
      <w:r>
        <w:rPr>
          <w:rFonts w:hint="eastAsia" w:cs="Times New Roman"/>
          <w:color w:val="auto"/>
          <w:szCs w:val="32"/>
          <w:lang w:val="en-US" w:eastAsia="zh-CN"/>
        </w:rPr>
        <w:t>各项举措</w:t>
      </w:r>
      <w:r>
        <w:rPr>
          <w:rFonts w:hint="default" w:ascii="Times New Roman" w:hAnsi="Times New Roman" w:cs="Times New Roman"/>
          <w:color w:val="auto"/>
          <w:szCs w:val="32"/>
        </w:rPr>
        <w:t>，加强师市医联体改革及卫生健康事业发展相关技术进步。</w:t>
      </w:r>
    </w:p>
    <w:p w14:paraId="1D47FEAF">
      <w:pPr>
        <w:pageBreakBefore w:val="0"/>
        <w:widowControl w:val="0"/>
        <w:numPr>
          <w:ilvl w:val="0"/>
          <w:numId w:val="2"/>
        </w:numPr>
        <w:tabs>
          <w:tab w:val="left" w:pos="480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  <w:pPrChange w:id="0" w:author="静" w:date="2024-12-06T10:48:42Z">
          <w:pPr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bidi w:val="0"/>
            <w:adjustRightInd/>
            <w:snapToGrid/>
            <w:spacing w:line="540" w:lineRule="exact"/>
            <w:ind w:firstLine="640"/>
            <w:jc w:val="both"/>
            <w:textAlignment w:val="auto"/>
          </w:pPr>
        </w:pPrChange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民生健康。</w:t>
      </w:r>
      <w:r>
        <w:rPr>
          <w:rFonts w:hint="default" w:ascii="Times New Roman" w:hAnsi="Times New Roman" w:cs="Times New Roman"/>
          <w:color w:val="auto"/>
          <w:szCs w:val="32"/>
        </w:rPr>
        <w:t>支持开展师市医共体服务技术集成与示范，支持脑卒中等疾病医疗服务</w:t>
      </w:r>
      <w:r>
        <w:rPr>
          <w:rFonts w:hint="eastAsia" w:cs="Times New Roman"/>
          <w:color w:val="auto"/>
          <w:szCs w:val="32"/>
          <w:lang w:val="en-US" w:eastAsia="zh-CN"/>
        </w:rPr>
        <w:t>技能系统化</w:t>
      </w:r>
      <w:r>
        <w:rPr>
          <w:rFonts w:hint="default" w:ascii="Times New Roman" w:hAnsi="Times New Roman" w:cs="Times New Roman"/>
          <w:color w:val="auto"/>
          <w:szCs w:val="32"/>
        </w:rPr>
        <w:t>提升，传染病（人畜共患病</w:t>
      </w:r>
      <w:r>
        <w:rPr>
          <w:rFonts w:hint="eastAsia" w:cs="Times New Roman"/>
          <w:color w:val="auto"/>
          <w:szCs w:val="32"/>
          <w:lang w:val="en-US" w:eastAsia="zh-CN"/>
        </w:rPr>
        <w:t>、乙肝</w:t>
      </w:r>
      <w:r>
        <w:rPr>
          <w:rFonts w:hint="default" w:ascii="Times New Roman" w:hAnsi="Times New Roman" w:cs="Times New Roman"/>
          <w:color w:val="auto"/>
          <w:szCs w:val="32"/>
        </w:rPr>
        <w:t>等）、慢性病、地方病</w:t>
      </w:r>
      <w:r>
        <w:rPr>
          <w:rFonts w:hint="eastAsia" w:cs="Times New Roman"/>
          <w:color w:val="auto"/>
          <w:szCs w:val="32"/>
          <w:lang w:eastAsia="zh-CN"/>
        </w:rPr>
        <w:t>、</w:t>
      </w:r>
      <w:r>
        <w:rPr>
          <w:rFonts w:hint="eastAsia" w:cs="Times New Roman"/>
          <w:color w:val="auto"/>
          <w:szCs w:val="32"/>
          <w:lang w:val="en-US" w:eastAsia="zh-CN"/>
        </w:rPr>
        <w:t>职业病、肿瘤</w:t>
      </w:r>
      <w:r>
        <w:rPr>
          <w:rFonts w:hint="default" w:ascii="Times New Roman" w:hAnsi="Times New Roman" w:cs="Times New Roman"/>
          <w:color w:val="auto"/>
          <w:szCs w:val="32"/>
        </w:rPr>
        <w:t>等综合防治防控新技术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新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方法及其干预措施的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研究与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应用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支持</w:t>
      </w:r>
      <w:r>
        <w:rPr>
          <w:rFonts w:hint="eastAsia" w:cs="Times New Roman"/>
          <w:color w:val="auto"/>
          <w:szCs w:val="32"/>
          <w:lang w:val="en-US" w:eastAsia="zh-CN"/>
        </w:rPr>
        <w:t>智慧康养以及中医药传承与创新，眼部疾病预防及诊疗技术、代谢综合征与心力衰竭等相关性研究，鼓励开展人工智能辅助诊疗技术试验及示范应用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5AF242A0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22"/>
          <w:lang w:val="en-US" w:eastAsia="zh-CN" w:bidi="ar-SA"/>
        </w:rPr>
        <w:t>生态安全、公共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 w:bidi="ar-SA"/>
        </w:rPr>
        <w:t>安全与应急管理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针对“蓝天碧水净土”方面突出问题，围绕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区域性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大气污染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温室气体、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减排与应急管控、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防沙治沙、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清洁能源开发利用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工业、农业、城乡建设与交通等行业领域低碳零碳负碳技术创新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等，支持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检测评估、综合治理与修复、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废旧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废弃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物资循环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再生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生物资源保护、水资源利用等绿色技术创新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安全、食品安全、防灾减灾、生产安全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、消防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等领域核心技术及装备研发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应用。</w:t>
      </w:r>
    </w:p>
    <w:p w14:paraId="49456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szCs w:val="32"/>
          <w:lang w:val="en-US" w:eastAsia="zh-CN"/>
        </w:rPr>
        <w:t>应用基础研究</w:t>
      </w:r>
    </w:p>
    <w:p w14:paraId="3A8E8245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cs="Times New Roman"/>
          <w:color w:val="000000" w:themeColor="text1"/>
          <w:sz w:val="32"/>
          <w:szCs w:val="32"/>
          <w:lang w:val="en-US" w:eastAsia="zh-CN"/>
          <w:rPrChange w:id="1" w:author="静" w:date="2024-12-06T10:44:48Z">
            <w:rPr>
              <w:rFonts w:hint="eastAsia" w:cs="Times New Roman"/>
              <w:color w:val="auto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:rPrChange w:id="2" w:author="静" w:date="2024-12-06T10:44:48Z">
            <w:rPr>
              <w:rFonts w:hint="eastAsia" w:ascii="Times New Roman" w:hAnsi="Times New Roman" w:cs="Times New Roman"/>
              <w:color w:val="auto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根据“兵团基础研究行动方案（2022-2030年）”</w:t>
      </w:r>
      <w:r>
        <w:rPr>
          <w:rFonts w:hint="default" w:cs="Times New Roman"/>
          <w:color w:val="000000" w:themeColor="text1"/>
          <w:sz w:val="32"/>
          <w:szCs w:val="32"/>
          <w:lang w:val="en-US" w:eastAsia="zh-CN"/>
          <w:rPrChange w:id="3" w:author="静" w:date="2024-12-06T10:44:48Z">
            <w:rPr>
              <w:rFonts w:hint="eastAsia" w:cs="Times New Roman"/>
              <w:color w:val="auto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有关要求，立足师市优势产业及科技资源，强化</w:t>
      </w:r>
      <w:r>
        <w:rPr>
          <w:rFonts w:hint="default" w:cs="Times New Roman"/>
          <w:color w:val="000000" w:themeColor="text1"/>
          <w:sz w:val="32"/>
          <w:szCs w:val="32"/>
          <w:lang w:val="en-US" w:eastAsia="zh-CN"/>
          <w:rPrChange w:id="4" w:author="静" w:date="2024-12-06T10:44:48Z">
            <w:rPr>
              <w:rFonts w:hint="eastAsia" w:cs="Times New Roman"/>
              <w:color w:val="auto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目标导向，鼓励跨学科跨领域的基础科学研究，重点支持现代农业、生物育种、资源环境等领域，加快基础研究、应用研究和技术创新融通发展。</w:t>
      </w:r>
    </w:p>
    <w:p w14:paraId="620D475E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rPrChange w:id="5" w:author="静" w:date="2024-12-06T10:46:09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6" w:author="静" w:date="2024-12-06T10:46:09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  <w:rPrChange w:id="7" w:author="静" w:date="2024-12-06T10:46:09Z">
            <w:rPr>
              <w:rFonts w:hint="eastAsia" w:ascii="仿宋_GB2312" w:hAnsi="仿宋_GB2312" w:cs="仿宋_GB2312"/>
              <w:b/>
              <w:bCs/>
              <w:sz w:val="32"/>
              <w:szCs w:val="32"/>
              <w:lang w:val="en-US" w:eastAsia="zh-CN"/>
            </w:rPr>
          </w:rPrChange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8" w:author="静" w:date="2024-12-06T10:46:09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</w:rPr>
          </w:rPrChange>
        </w:rPr>
        <w:t>）高新技术领域</w:t>
      </w:r>
    </w:p>
    <w:p w14:paraId="18A8A4C0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师市九条产业链高质量发展，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实施强链、延链、补链行动，培育壮大特色优势产业集群。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重点支持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碳硅铝基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新材料、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新能源</w:t>
      </w:r>
      <w:r>
        <w:rPr>
          <w:rFonts w:hint="eastAsia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与节能环保、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装备制造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信息技术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农副产品精深加工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等领域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 w14:paraId="0C4CB1A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643" w:firstLineChars="200"/>
        <w:textAlignment w:val="auto"/>
        <w:rPr>
          <w:rFonts w:hint="default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新材料。</w:t>
      </w:r>
      <w:r>
        <w:rPr>
          <w:rFonts w:hint="eastAsia" w:cs="Times New Roman"/>
          <w:b w:val="0"/>
          <w:bCs/>
          <w:kern w:val="0"/>
          <w:sz w:val="32"/>
          <w:szCs w:val="32"/>
          <w:lang w:val="en-US" w:eastAsia="zh-CN"/>
        </w:rPr>
        <w:t>支持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碳硅铝基</w:t>
      </w:r>
      <w:r>
        <w:rPr>
          <w:rFonts w:hint="eastAsia" w:cs="Times New Roman"/>
          <w:b w:val="0"/>
          <w:bCs/>
          <w:kern w:val="0"/>
          <w:sz w:val="32"/>
          <w:szCs w:val="32"/>
          <w:lang w:val="en-US" w:eastAsia="zh-CN"/>
        </w:rPr>
        <w:t>新材料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效生产技术和配套技术，高分子材料制备及循环再利用技术，半导体新材料制备与应用技术，高纯、高性能、环保合金材料的制备及加工技术，金属基复合新材料制备技术，无机非金属材料制备技术，生物医用材料的制备技术，精细和专用化学品制备技术。</w:t>
      </w:r>
    </w:p>
    <w:p w14:paraId="7FDB419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新能源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与节能环保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支持可再生清洁能源的开发与应用技术，新型高效能量转换与储能技术，重点领域、行业的能源替代和节能改造，煤炭、石油、天然气等的高效利用技术，废弃物处置与综合利用技术。</w:t>
      </w:r>
    </w:p>
    <w:p w14:paraId="6A756AED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3"/>
        <w:textAlignment w:val="auto"/>
        <w:rPr>
          <w:rFonts w:hint="eastAsia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支持本地农机企业开展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耕整地机械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种植施肥机械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收获后处理机械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农业废弃物利用设备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等的升级换代</w:t>
      </w:r>
      <w:r>
        <w:rPr>
          <w:rFonts w:hint="eastAsia" w:cs="Times New Roman"/>
          <w:sz w:val="32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采棉机、</w:t>
      </w:r>
      <w:r>
        <w:rPr>
          <w:rFonts w:hint="eastAsia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残膜回收机、联合整地机、液压翻转犁、辣椒玉米等收获机械关键核心零部件的研发，经济作物采收机械的研发，电力系统与设备、食品加工设备制造、航空设备制造、医药与生物医学等领域装备研发。</w:t>
      </w:r>
    </w:p>
    <w:p w14:paraId="5CF5B69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信息技术。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支持本地企业应用人工智能、物联网、数字孪生等技术开展转型攻关。</w:t>
      </w:r>
    </w:p>
    <w:p w14:paraId="5D62553D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农副产品精深加工。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本地特色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乳制品、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肉制品、果蔬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、葡萄酒、啤酒、白酒产业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等特色产品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精深加工技术及新产品开发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7C6F7A3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其他领域。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支持医药与生物技术、创新药物研发技术、药物新剂型与制剂创制技术，开展研发服务、设计服务、信息技术服务、知识产权与成果转化等高技术服务。</w:t>
      </w:r>
    </w:p>
    <w:p w14:paraId="679F9B05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eastAsia" w:eastAsia="黑体" w:cs="Times New Roman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szCs w:val="32"/>
        </w:rPr>
        <w:t>要求</w:t>
      </w:r>
    </w:p>
    <w:p w14:paraId="685B5E56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1. 鼓励</w:t>
      </w:r>
      <w:r>
        <w:rPr>
          <w:rFonts w:hint="eastAsia" w:cs="Times New Roman"/>
          <w:color w:val="auto"/>
          <w:szCs w:val="32"/>
          <w:lang w:val="en-US" w:eastAsia="zh-CN"/>
        </w:rPr>
        <w:t>师市单位联合石河子大学、新疆农垦科学院等驻石院校联合申报。</w:t>
      </w:r>
    </w:p>
    <w:p w14:paraId="4AED0293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2. 优先支持高新技术企业、科技型中小企业、技术创新</w:t>
      </w:r>
      <w:r>
        <w:rPr>
          <w:rFonts w:hint="eastAsia" w:cs="Times New Roman"/>
          <w:color w:val="auto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  <w:color w:val="auto"/>
          <w:szCs w:val="32"/>
        </w:rPr>
        <w:t>、创新</w:t>
      </w:r>
      <w:r>
        <w:rPr>
          <w:rFonts w:hint="eastAsia" w:cs="Times New Roman"/>
          <w:color w:val="auto"/>
          <w:szCs w:val="32"/>
          <w:lang w:val="en-US" w:eastAsia="zh-CN"/>
        </w:rPr>
        <w:t>联合体</w:t>
      </w:r>
      <w:r>
        <w:rPr>
          <w:rFonts w:hint="default" w:ascii="Times New Roman" w:hAnsi="Times New Roman" w:cs="Times New Roman"/>
          <w:color w:val="auto"/>
          <w:szCs w:val="32"/>
        </w:rPr>
        <w:t>等围绕</w:t>
      </w:r>
      <w:r>
        <w:rPr>
          <w:rFonts w:hint="eastAsia" w:cs="Times New Roman"/>
          <w:color w:val="auto"/>
          <w:szCs w:val="32"/>
          <w:lang w:val="en-US" w:eastAsia="zh-CN"/>
        </w:rPr>
        <w:t>师市</w:t>
      </w:r>
      <w:r>
        <w:rPr>
          <w:rFonts w:hint="default" w:ascii="Times New Roman" w:hAnsi="Times New Roman" w:cs="Times New Roman"/>
          <w:color w:val="auto"/>
          <w:szCs w:val="32"/>
        </w:rPr>
        <w:t>产业发展和技术进步开展科技攻关。</w:t>
      </w:r>
    </w:p>
    <w:p w14:paraId="2E2FBD89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3. 鼓励创新（含引进消化再创新）、应用试验示范、推广及产业化链路相关单位及机构组团申报。</w:t>
      </w:r>
    </w:p>
    <w:p w14:paraId="007455BA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4. 项目实施期限原则上不超过3年。</w:t>
      </w:r>
    </w:p>
    <w:p w14:paraId="13956F8B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/>
        </w:rPr>
      </w:pPr>
      <w:r>
        <w:rPr>
          <w:rFonts w:hint="eastAsia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 xml:space="preserve">. </w:t>
      </w:r>
      <w:r>
        <w:rPr>
          <w:rFonts w:hint="eastAsia" w:cs="Times New Roman"/>
          <w:color w:val="auto"/>
          <w:szCs w:val="32"/>
          <w:lang w:val="en-US" w:eastAsia="zh-CN"/>
        </w:rPr>
        <w:t>参与项目的</w:t>
      </w:r>
      <w:r>
        <w:rPr>
          <w:rFonts w:hint="default" w:ascii="Times New Roman" w:hAnsi="Times New Roman" w:cs="Times New Roman"/>
          <w:color w:val="auto"/>
          <w:szCs w:val="32"/>
        </w:rPr>
        <w:t>师域外单位</w:t>
      </w:r>
      <w:r>
        <w:rPr>
          <w:rFonts w:hint="eastAsia" w:cs="Times New Roman"/>
          <w:color w:val="auto"/>
          <w:szCs w:val="32"/>
          <w:lang w:val="en-US" w:eastAsia="zh-CN"/>
        </w:rPr>
        <w:t>分配</w:t>
      </w:r>
      <w:r>
        <w:rPr>
          <w:rFonts w:hint="default" w:ascii="Times New Roman" w:hAnsi="Times New Roman" w:cs="Times New Roman"/>
          <w:color w:val="auto"/>
          <w:szCs w:val="32"/>
        </w:rPr>
        <w:t>财政资金</w:t>
      </w:r>
      <w:r>
        <w:rPr>
          <w:rFonts w:hint="eastAsia" w:cs="Times New Roman"/>
          <w:color w:val="auto"/>
          <w:szCs w:val="32"/>
          <w:lang w:val="en-US" w:eastAsia="zh-CN"/>
        </w:rPr>
        <w:t>原则上</w:t>
      </w:r>
      <w:r>
        <w:rPr>
          <w:rFonts w:hint="default" w:ascii="Times New Roman" w:hAnsi="Times New Roman" w:cs="Times New Roman"/>
          <w:color w:val="auto"/>
          <w:szCs w:val="32"/>
        </w:rPr>
        <w:t>不超过三分之一。</w:t>
      </w:r>
    </w:p>
    <w:p w14:paraId="7BB1F3D3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. 严格项目预算管理，编制详细预算说明。一般每个项目申请</w:t>
      </w:r>
      <w:r>
        <w:rPr>
          <w:rFonts w:hint="eastAsia" w:cs="Times New Roman"/>
          <w:color w:val="auto"/>
          <w:szCs w:val="32"/>
          <w:lang w:val="en-US" w:eastAsia="zh-CN"/>
        </w:rPr>
        <w:t>财政资金额度原则上</w:t>
      </w:r>
      <w:r>
        <w:rPr>
          <w:rFonts w:hint="default" w:ascii="Times New Roman" w:hAnsi="Times New Roman" w:cs="Times New Roman"/>
          <w:color w:val="auto"/>
          <w:szCs w:val="32"/>
        </w:rPr>
        <w:t>不超过</w:t>
      </w:r>
      <w:r>
        <w:rPr>
          <w:rFonts w:hint="eastAsia" w:cs="Times New Roman"/>
          <w:color w:val="auto"/>
          <w:szCs w:val="32"/>
          <w:lang w:val="en-US" w:eastAsia="zh-CN"/>
        </w:rPr>
        <w:t>60</w:t>
      </w:r>
      <w:r>
        <w:rPr>
          <w:rFonts w:hint="default" w:ascii="Times New Roman" w:hAnsi="Times New Roman" w:cs="Times New Roman"/>
          <w:color w:val="auto"/>
          <w:szCs w:val="32"/>
        </w:rPr>
        <w:t>万元</w:t>
      </w:r>
      <w:r>
        <w:rPr>
          <w:rFonts w:hint="eastAsia" w:cs="Times New Roman"/>
          <w:color w:val="auto"/>
          <w:szCs w:val="32"/>
          <w:lang w:eastAsia="zh-CN"/>
        </w:rPr>
        <w:t>（</w:t>
      </w:r>
      <w:r>
        <w:rPr>
          <w:rFonts w:hint="eastAsia" w:cs="Times New Roman"/>
          <w:color w:val="auto"/>
          <w:szCs w:val="32"/>
          <w:lang w:val="en-US" w:eastAsia="zh-CN"/>
        </w:rPr>
        <w:t>医疗卫生类不超过10万元）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27830F30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. 申报项目需提交半年以内的查新报告及其他相关附件证明材料，详见申报书要求。</w:t>
      </w:r>
    </w:p>
    <w:p w14:paraId="63C5383A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小标宋_GBK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三、联系方式</w:t>
      </w:r>
    </w:p>
    <w:p w14:paraId="06AD3679">
      <w:pPr>
        <w:pStyle w:val="7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农业与社会发展领域：</w:t>
      </w:r>
    </w:p>
    <w:p w14:paraId="3B81A001">
      <w:pPr>
        <w:pStyle w:val="7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联 系 人：鲍健 2013261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王欣雨 2069256</w:t>
      </w:r>
    </w:p>
    <w:p w14:paraId="1165EC33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textAlignment w:val="auto"/>
        <w:rPr>
          <w:rFonts w:hint="default"/>
        </w:rPr>
      </w:pPr>
      <w:r>
        <w:rPr>
          <w:rFonts w:hint="default" w:ascii="Times New Roman" w:hAnsi="Times New Roman" w:cs="Times New Roman"/>
          <w:color w:val="000000"/>
          <w:szCs w:val="32"/>
        </w:rPr>
        <w:t>电子邮箱：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bskjxm</w:t>
      </w:r>
      <w:r>
        <w:rPr>
          <w:rFonts w:hint="default" w:ascii="Times New Roman" w:hAnsi="Times New Roman" w:cs="Times New Roman"/>
          <w:color w:val="000000"/>
          <w:szCs w:val="32"/>
        </w:rPr>
        <w:t>@sina.c</w:t>
      </w:r>
      <w:r>
        <w:rPr>
          <w:rFonts w:hint="eastAsia" w:cs="Times New Roman"/>
          <w:color w:val="000000"/>
          <w:szCs w:val="32"/>
          <w:lang w:val="en-US" w:eastAsia="zh-CN"/>
        </w:rPr>
        <w:t>om</w:t>
      </w:r>
    </w:p>
    <w:p w14:paraId="7876501F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t>高新技术领域：</w:t>
      </w:r>
    </w:p>
    <w:p w14:paraId="435BF019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</w:rPr>
        <w:t>联</w:t>
      </w:r>
      <w:r>
        <w:rPr>
          <w:rFonts w:hint="eastAsia" w:cs="Times New Roman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32"/>
        </w:rPr>
        <w:t>系</w:t>
      </w:r>
      <w:r>
        <w:rPr>
          <w:rFonts w:hint="eastAsia" w:cs="Times New Roman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32"/>
        </w:rPr>
        <w:t>人：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何鸿斌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2069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118</w:t>
      </w:r>
    </w:p>
    <w:p w14:paraId="3CAD4062"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电子邮箱：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instrText xml:space="preserve"> HYPERLINK "mailto:1849431889@qq.com" </w:instrTex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1849431889@qq.com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fldChar w:fldCharType="end"/>
      </w:r>
    </w:p>
    <w:p w14:paraId="1050E6EE">
      <w:pPr>
        <w:pStyle w:val="2"/>
        <w:rPr>
          <w:rFonts w:hint="default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7" w:bottom="1871" w:left="1587" w:header="851" w:footer="992" w:gutter="0"/>
      <w:pgNumType w:fmt="decimal"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7365">
    <w:pPr>
      <w:pStyle w:val="10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ECD6B">
                          <w:pPr>
                            <w:pStyle w:val="10"/>
                            <w:ind w:firstLine="36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ECD6B">
                    <w:pPr>
                      <w:pStyle w:val="10"/>
                      <w:ind w:firstLine="360"/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89AA627">
    <w:pPr>
      <w:pStyle w:val="10"/>
      <w:ind w:left="7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11AFA">
    <w:pPr>
      <w:pStyle w:val="10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24 -</w:t>
    </w:r>
    <w:r>
      <w:fldChar w:fldCharType="end"/>
    </w:r>
  </w:p>
  <w:p w14:paraId="5F269DEA">
    <w:pPr>
      <w:pStyle w:val="10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52B94">
    <w:pPr>
      <w:pStyle w:val="10"/>
      <w:ind w:left="7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3DA9">
    <w:pPr>
      <w:pStyle w:val="11"/>
      <w:ind w:left="7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A3DD7">
    <w:pPr>
      <w:pStyle w:val="11"/>
      <w:ind w:left="7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B96A">
    <w:pPr>
      <w:pStyle w:val="11"/>
      <w:ind w:left="72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E551B"/>
    <w:multiLevelType w:val="singleLevel"/>
    <w:tmpl w:val="D96E55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A928FC"/>
    <w:multiLevelType w:val="singleLevel"/>
    <w:tmpl w:val="7BA928F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静">
    <w15:presenceInfo w15:providerId="WPS Office" w15:userId="1083128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MWY3MmVjNzMyNjdhMzJiNWRhZmVjMTM5OGZiZmQifQ=="/>
  </w:docVars>
  <w:rsids>
    <w:rsidRoot w:val="008811D4"/>
    <w:rsid w:val="000A446B"/>
    <w:rsid w:val="000C1A86"/>
    <w:rsid w:val="00196903"/>
    <w:rsid w:val="00196B75"/>
    <w:rsid w:val="0021086C"/>
    <w:rsid w:val="002A153E"/>
    <w:rsid w:val="0031307F"/>
    <w:rsid w:val="003F6F13"/>
    <w:rsid w:val="00403AF5"/>
    <w:rsid w:val="004F50AC"/>
    <w:rsid w:val="00503C77"/>
    <w:rsid w:val="0052159C"/>
    <w:rsid w:val="00522FF1"/>
    <w:rsid w:val="005D0DAD"/>
    <w:rsid w:val="00623B58"/>
    <w:rsid w:val="00645752"/>
    <w:rsid w:val="0064776A"/>
    <w:rsid w:val="00692141"/>
    <w:rsid w:val="006B0C49"/>
    <w:rsid w:val="00731E1A"/>
    <w:rsid w:val="008811D4"/>
    <w:rsid w:val="0097042A"/>
    <w:rsid w:val="009B2D91"/>
    <w:rsid w:val="009B3817"/>
    <w:rsid w:val="009B7D28"/>
    <w:rsid w:val="00A6106E"/>
    <w:rsid w:val="00A663C3"/>
    <w:rsid w:val="00AB38C8"/>
    <w:rsid w:val="00B1695C"/>
    <w:rsid w:val="00CA0CBD"/>
    <w:rsid w:val="00CA5539"/>
    <w:rsid w:val="00D30956"/>
    <w:rsid w:val="00DD1D07"/>
    <w:rsid w:val="00DE486A"/>
    <w:rsid w:val="00E167B8"/>
    <w:rsid w:val="00EE5AB5"/>
    <w:rsid w:val="00F21266"/>
    <w:rsid w:val="00F77B3F"/>
    <w:rsid w:val="013F138E"/>
    <w:rsid w:val="01F950D6"/>
    <w:rsid w:val="03A95515"/>
    <w:rsid w:val="04873B40"/>
    <w:rsid w:val="04CB2231"/>
    <w:rsid w:val="04F461BD"/>
    <w:rsid w:val="05545AFC"/>
    <w:rsid w:val="090F3539"/>
    <w:rsid w:val="09411FE5"/>
    <w:rsid w:val="0A17305A"/>
    <w:rsid w:val="0A8A61EC"/>
    <w:rsid w:val="0AAF2F2E"/>
    <w:rsid w:val="0B2F77B2"/>
    <w:rsid w:val="0CE26BA9"/>
    <w:rsid w:val="0E4E56FF"/>
    <w:rsid w:val="0E5A56B5"/>
    <w:rsid w:val="0E750D17"/>
    <w:rsid w:val="0E8C037D"/>
    <w:rsid w:val="0EED7974"/>
    <w:rsid w:val="103B5B93"/>
    <w:rsid w:val="103D69CC"/>
    <w:rsid w:val="136E38FB"/>
    <w:rsid w:val="13F60BD6"/>
    <w:rsid w:val="14406E72"/>
    <w:rsid w:val="156D6EED"/>
    <w:rsid w:val="166F0244"/>
    <w:rsid w:val="16FB55F8"/>
    <w:rsid w:val="18213B3C"/>
    <w:rsid w:val="190C22F8"/>
    <w:rsid w:val="1BA627A8"/>
    <w:rsid w:val="1D756D31"/>
    <w:rsid w:val="1D893F68"/>
    <w:rsid w:val="1E4E5CD9"/>
    <w:rsid w:val="1FAE6AC1"/>
    <w:rsid w:val="1FB771B9"/>
    <w:rsid w:val="1FF621AB"/>
    <w:rsid w:val="201452C8"/>
    <w:rsid w:val="21567DF3"/>
    <w:rsid w:val="21FC6EA7"/>
    <w:rsid w:val="225D3A43"/>
    <w:rsid w:val="22D16E8F"/>
    <w:rsid w:val="24F04189"/>
    <w:rsid w:val="262A53CE"/>
    <w:rsid w:val="26B578DB"/>
    <w:rsid w:val="27525D28"/>
    <w:rsid w:val="27D66C3F"/>
    <w:rsid w:val="27D8038B"/>
    <w:rsid w:val="28C37C43"/>
    <w:rsid w:val="29515BD9"/>
    <w:rsid w:val="2A814B6A"/>
    <w:rsid w:val="2ADC5A78"/>
    <w:rsid w:val="2D0A0B06"/>
    <w:rsid w:val="2D916FF6"/>
    <w:rsid w:val="2E725102"/>
    <w:rsid w:val="2EF22C39"/>
    <w:rsid w:val="2F421001"/>
    <w:rsid w:val="30734ED5"/>
    <w:rsid w:val="31FD23CE"/>
    <w:rsid w:val="32397DA4"/>
    <w:rsid w:val="32BE7A91"/>
    <w:rsid w:val="34785A1F"/>
    <w:rsid w:val="35B07A7F"/>
    <w:rsid w:val="366C2509"/>
    <w:rsid w:val="36972959"/>
    <w:rsid w:val="37016E61"/>
    <w:rsid w:val="3738397D"/>
    <w:rsid w:val="386F4BE3"/>
    <w:rsid w:val="38E47A08"/>
    <w:rsid w:val="39DE3110"/>
    <w:rsid w:val="3A6E7A37"/>
    <w:rsid w:val="3AD51313"/>
    <w:rsid w:val="3D5D797E"/>
    <w:rsid w:val="3F9D26C6"/>
    <w:rsid w:val="417212DA"/>
    <w:rsid w:val="43104EA6"/>
    <w:rsid w:val="44486B8F"/>
    <w:rsid w:val="44B2000D"/>
    <w:rsid w:val="44D71470"/>
    <w:rsid w:val="45714753"/>
    <w:rsid w:val="45D95E36"/>
    <w:rsid w:val="466B5A34"/>
    <w:rsid w:val="46812ADD"/>
    <w:rsid w:val="46C35FD3"/>
    <w:rsid w:val="479A35A9"/>
    <w:rsid w:val="482961D1"/>
    <w:rsid w:val="48977148"/>
    <w:rsid w:val="492E0D9C"/>
    <w:rsid w:val="494A7FCC"/>
    <w:rsid w:val="4A413E97"/>
    <w:rsid w:val="4A6E77A1"/>
    <w:rsid w:val="4C1A53C3"/>
    <w:rsid w:val="4DEB139E"/>
    <w:rsid w:val="4E9B2695"/>
    <w:rsid w:val="4ECC0B5C"/>
    <w:rsid w:val="4EDF2C76"/>
    <w:rsid w:val="50342E43"/>
    <w:rsid w:val="55C407E3"/>
    <w:rsid w:val="57596ADE"/>
    <w:rsid w:val="580E4603"/>
    <w:rsid w:val="5A1D3D19"/>
    <w:rsid w:val="5A3B5183"/>
    <w:rsid w:val="5AC454B1"/>
    <w:rsid w:val="5C2E5A14"/>
    <w:rsid w:val="5CAB249B"/>
    <w:rsid w:val="5CCC15C6"/>
    <w:rsid w:val="5D8225D3"/>
    <w:rsid w:val="5EA9169E"/>
    <w:rsid w:val="5F1266C6"/>
    <w:rsid w:val="5FEC6BEE"/>
    <w:rsid w:val="5FF7362B"/>
    <w:rsid w:val="60091A5B"/>
    <w:rsid w:val="61660A13"/>
    <w:rsid w:val="624F5057"/>
    <w:rsid w:val="62B334AF"/>
    <w:rsid w:val="64754858"/>
    <w:rsid w:val="64863595"/>
    <w:rsid w:val="65774410"/>
    <w:rsid w:val="67294254"/>
    <w:rsid w:val="67945EC1"/>
    <w:rsid w:val="67BE2169"/>
    <w:rsid w:val="67F64C00"/>
    <w:rsid w:val="699D5FBC"/>
    <w:rsid w:val="6B6436D2"/>
    <w:rsid w:val="6F363C35"/>
    <w:rsid w:val="6F624A06"/>
    <w:rsid w:val="6FC772A4"/>
    <w:rsid w:val="717151E3"/>
    <w:rsid w:val="72903CB1"/>
    <w:rsid w:val="731C7029"/>
    <w:rsid w:val="749A2897"/>
    <w:rsid w:val="75580A78"/>
    <w:rsid w:val="75703288"/>
    <w:rsid w:val="75FE4ABB"/>
    <w:rsid w:val="774A39AF"/>
    <w:rsid w:val="776E39F1"/>
    <w:rsid w:val="77B35936"/>
    <w:rsid w:val="77D660AB"/>
    <w:rsid w:val="7A4825F7"/>
    <w:rsid w:val="7BB31B85"/>
    <w:rsid w:val="7C301B9C"/>
    <w:rsid w:val="7C360273"/>
    <w:rsid w:val="7DE92D30"/>
    <w:rsid w:val="7E3D37AF"/>
    <w:rsid w:val="7F9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Lines="100" w:afterLines="10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unhideWhenUsed/>
    <w:qFormat/>
    <w:uiPriority w:val="9"/>
    <w:pPr>
      <w:keepNext/>
      <w:keepLines/>
      <w:outlineLvl w:val="1"/>
    </w:pPr>
    <w:rPr>
      <w:rFonts w:eastAsia="黑体"/>
      <w:bCs/>
      <w:kern w:val="2"/>
      <w:szCs w:val="32"/>
    </w:rPr>
  </w:style>
  <w:style w:type="paragraph" w:styleId="6">
    <w:name w:val="heading 3"/>
    <w:basedOn w:val="1"/>
    <w:next w:val="1"/>
    <w:link w:val="22"/>
    <w:unhideWhenUsed/>
    <w:qFormat/>
    <w:uiPriority w:val="9"/>
    <w:pPr>
      <w:keepNext/>
      <w:keepLines/>
      <w:outlineLvl w:val="2"/>
    </w:pPr>
    <w:rPr>
      <w:rFonts w:eastAsia="楷体_GB2312"/>
      <w:b/>
      <w:bCs/>
      <w:kern w:val="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0"/>
    <w:pPr>
      <w:ind w:firstLine="420"/>
    </w:pPr>
    <w:rPr>
      <w:sz w:val="30"/>
    </w:rPr>
  </w:style>
  <w:style w:type="paragraph" w:styleId="8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1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4">
    <w:name w:val="Body Text First Indent 2"/>
    <w:basedOn w:val="8"/>
    <w:next w:val="2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公文正文"/>
    <w:basedOn w:val="1"/>
    <w:qFormat/>
    <w:uiPriority w:val="0"/>
    <w:pPr>
      <w:ind w:firstLine="880"/>
    </w:pPr>
  </w:style>
  <w:style w:type="character" w:customStyle="1" w:styleId="20">
    <w:name w:val="标题 1 字符"/>
    <w:basedOn w:val="16"/>
    <w:link w:val="4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1">
    <w:name w:val="标题 2 字符"/>
    <w:basedOn w:val="16"/>
    <w:link w:val="5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2">
    <w:name w:val="标题 3 字符"/>
    <w:basedOn w:val="16"/>
    <w:link w:val="6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23">
    <w:name w:val="页眉 字符"/>
    <w:basedOn w:val="16"/>
    <w:link w:val="11"/>
    <w:qFormat/>
    <w:uiPriority w:val="99"/>
    <w:rPr>
      <w:rFonts w:ascii="Times New Roman" w:hAnsi="Times New Roman" w:eastAsia="仿宋_GB2312"/>
      <w:kern w:val="0"/>
      <w:sz w:val="18"/>
    </w:rPr>
  </w:style>
  <w:style w:type="character" w:customStyle="1" w:styleId="24">
    <w:name w:val="页脚 字符"/>
    <w:basedOn w:val="16"/>
    <w:link w:val="10"/>
    <w:qFormat/>
    <w:uiPriority w:val="99"/>
    <w:rPr>
      <w:rFonts w:ascii="Times New Roman" w:hAnsi="Times New Roman" w:eastAsia="仿宋_GB2312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2117</Words>
  <Characters>2192</Characters>
  <Lines>109</Lines>
  <Paragraphs>30</Paragraphs>
  <TotalTime>27</TotalTime>
  <ScaleCrop>false</ScaleCrop>
  <LinksUpToDate>false</LinksUpToDate>
  <CharactersWithSpaces>2210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2021-10-10T09:39:00Z</dcterms:created>
  <dc:creator>Administrator</dc:creator>
  <cp:lastModifiedBy>静</cp:lastModifiedBy>
  <cp:lastPrinted>2024-12-12T08:02:02Z</cp:lastPrinted>
  <dcterms:modified xsi:type="dcterms:W3CDTF">2024-12-12T08:07:10Z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487AAC1100684386B745AA355E57A4F9_13</vt:lpwstr>
  </property>
</Properties>
</file>