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Arial Unicode MS"/>
          <w:snapToGrid w:val="0"/>
          <w:kern w:val="0"/>
          <w:sz w:val="44"/>
          <w:szCs w:val="44"/>
        </w:rPr>
      </w:pPr>
      <w:r>
        <w:rPr>
          <w:rFonts w:eastAsia="黑体"/>
          <w:snapToGrid w:val="0"/>
          <w:kern w:val="0"/>
          <w:sz w:val="32"/>
          <w:szCs w:val="32"/>
        </w:rPr>
        <w:t>附件1</w:t>
      </w:r>
    </w:p>
    <w:p>
      <w:pPr>
        <w:adjustRightInd w:val="0"/>
        <w:snapToGrid w:val="0"/>
        <w:spacing w:line="560" w:lineRule="exact"/>
        <w:rPr>
          <w:rFonts w:eastAsia="Arial Unicode MS"/>
          <w:snapToGrid w:val="0"/>
          <w:kern w:val="0"/>
          <w:sz w:val="44"/>
          <w:szCs w:val="44"/>
        </w:rPr>
      </w:pPr>
    </w:p>
    <w:p>
      <w:pPr>
        <w:adjustRightInd w:val="0"/>
        <w:snapToGrid w:val="0"/>
        <w:spacing w:line="560" w:lineRule="exact"/>
        <w:jc w:val="center"/>
        <w:rPr>
          <w:rFonts w:eastAsia="方正小标宋简体"/>
          <w:snapToGrid w:val="0"/>
          <w:kern w:val="0"/>
          <w:sz w:val="44"/>
          <w:szCs w:val="44"/>
        </w:rPr>
      </w:pPr>
      <w:r>
        <w:rPr>
          <w:rFonts w:eastAsia="方正小标宋简体"/>
          <w:snapToGrid w:val="0"/>
          <w:kern w:val="0"/>
          <w:sz w:val="44"/>
          <w:szCs w:val="44"/>
        </w:rPr>
        <w:t>首违不罚事项清单</w:t>
      </w:r>
      <w:r>
        <w:rPr>
          <w:rFonts w:hint="eastAsia" w:eastAsia="方正小标宋简体"/>
          <w:snapToGrid w:val="0"/>
          <w:kern w:val="0"/>
          <w:sz w:val="44"/>
          <w:szCs w:val="44"/>
          <w:lang w:eastAsia="zh-CN"/>
        </w:rPr>
        <w:t>（</w:t>
      </w:r>
      <w:r>
        <w:rPr>
          <w:rFonts w:hint="eastAsia" w:eastAsia="方正小标宋简体"/>
          <w:snapToGrid w:val="0"/>
          <w:kern w:val="0"/>
          <w:sz w:val="44"/>
          <w:szCs w:val="44"/>
          <w:lang w:val="en-US" w:eastAsia="zh-CN"/>
        </w:rPr>
        <w:t>自然资源和规划局</w:t>
      </w:r>
      <w:r>
        <w:rPr>
          <w:rFonts w:hint="eastAsia" w:eastAsia="方正小标宋简体"/>
          <w:snapToGrid w:val="0"/>
          <w:kern w:val="0"/>
          <w:sz w:val="44"/>
          <w:szCs w:val="44"/>
          <w:lang w:eastAsia="zh-CN"/>
        </w:rPr>
        <w:t>）</w:t>
      </w:r>
    </w:p>
    <w:p>
      <w:pPr>
        <w:adjustRightInd w:val="0"/>
        <w:snapToGrid w:val="0"/>
        <w:spacing w:line="560" w:lineRule="exact"/>
        <w:jc w:val="center"/>
        <w:rPr>
          <w:rFonts w:eastAsia="方正小标宋简体"/>
          <w:snapToGrid w:val="0"/>
          <w:kern w:val="0"/>
          <w:sz w:val="44"/>
          <w:szCs w:val="44"/>
        </w:rPr>
      </w:pPr>
    </w:p>
    <w:tbl>
      <w:tblPr>
        <w:tblStyle w:val="11"/>
        <w:tblW w:w="161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206"/>
        <w:gridCol w:w="1142"/>
        <w:gridCol w:w="1976"/>
        <w:gridCol w:w="4728"/>
        <w:gridCol w:w="2578"/>
        <w:gridCol w:w="1442"/>
        <w:gridCol w:w="18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exact"/>
          <w:tblHeader/>
          <w:jc w:val="center"/>
        </w:trPr>
        <w:tc>
          <w:tcPr>
            <w:tcW w:w="567" w:type="dxa"/>
            <w:shd w:val="clear" w:color="auto" w:fill="auto"/>
            <w:noWrap/>
            <w:vAlign w:val="center"/>
          </w:tcPr>
          <w:p>
            <w:pPr>
              <w:widowControl/>
              <w:spacing w:line="240" w:lineRule="exact"/>
              <w:jc w:val="center"/>
              <w:rPr>
                <w:rFonts w:eastAsia="黑体"/>
                <w:kern w:val="0"/>
                <w:szCs w:val="21"/>
              </w:rPr>
            </w:pPr>
            <w:r>
              <w:rPr>
                <w:rFonts w:eastAsia="黑体"/>
                <w:kern w:val="0"/>
                <w:szCs w:val="21"/>
              </w:rPr>
              <w:t>序号</w:t>
            </w:r>
          </w:p>
        </w:tc>
        <w:tc>
          <w:tcPr>
            <w:tcW w:w="1206" w:type="dxa"/>
            <w:shd w:val="clear" w:color="auto" w:fill="auto"/>
            <w:noWrap/>
            <w:vAlign w:val="center"/>
          </w:tcPr>
          <w:p>
            <w:pPr>
              <w:widowControl/>
              <w:spacing w:line="240" w:lineRule="exact"/>
              <w:jc w:val="center"/>
              <w:rPr>
                <w:rFonts w:eastAsia="黑体"/>
                <w:kern w:val="0"/>
                <w:szCs w:val="21"/>
              </w:rPr>
            </w:pPr>
            <w:r>
              <w:rPr>
                <w:rFonts w:eastAsia="黑体"/>
                <w:kern w:val="0"/>
                <w:szCs w:val="21"/>
              </w:rPr>
              <w:t>管理</w:t>
            </w:r>
          </w:p>
          <w:p>
            <w:pPr>
              <w:widowControl/>
              <w:spacing w:line="240" w:lineRule="exact"/>
              <w:jc w:val="center"/>
              <w:rPr>
                <w:rFonts w:eastAsia="黑体"/>
                <w:kern w:val="0"/>
                <w:szCs w:val="21"/>
              </w:rPr>
            </w:pPr>
            <w:r>
              <w:rPr>
                <w:rFonts w:eastAsia="黑体"/>
                <w:kern w:val="0"/>
                <w:szCs w:val="21"/>
              </w:rPr>
              <w:t>领域</w:t>
            </w:r>
          </w:p>
        </w:tc>
        <w:tc>
          <w:tcPr>
            <w:tcW w:w="1142" w:type="dxa"/>
            <w:shd w:val="clear" w:color="auto" w:fill="auto"/>
            <w:noWrap/>
            <w:vAlign w:val="center"/>
          </w:tcPr>
          <w:p>
            <w:pPr>
              <w:widowControl/>
              <w:spacing w:line="240" w:lineRule="exact"/>
              <w:jc w:val="center"/>
              <w:rPr>
                <w:rFonts w:eastAsia="黑体"/>
                <w:kern w:val="0"/>
                <w:szCs w:val="21"/>
              </w:rPr>
            </w:pPr>
            <w:r>
              <w:rPr>
                <w:rFonts w:eastAsia="黑体"/>
                <w:kern w:val="0"/>
                <w:szCs w:val="21"/>
              </w:rPr>
              <w:t>主管</w:t>
            </w:r>
          </w:p>
          <w:p>
            <w:pPr>
              <w:widowControl/>
              <w:spacing w:line="240" w:lineRule="exact"/>
              <w:jc w:val="center"/>
              <w:rPr>
                <w:rFonts w:eastAsia="黑体"/>
                <w:kern w:val="0"/>
                <w:szCs w:val="21"/>
              </w:rPr>
            </w:pPr>
            <w:r>
              <w:rPr>
                <w:rFonts w:eastAsia="黑体"/>
                <w:kern w:val="0"/>
                <w:szCs w:val="21"/>
              </w:rPr>
              <w:t>单位</w:t>
            </w:r>
          </w:p>
        </w:tc>
        <w:tc>
          <w:tcPr>
            <w:tcW w:w="1976" w:type="dxa"/>
            <w:shd w:val="clear" w:color="auto" w:fill="auto"/>
            <w:noWrap/>
            <w:vAlign w:val="center"/>
          </w:tcPr>
          <w:p>
            <w:pPr>
              <w:widowControl/>
              <w:spacing w:line="240" w:lineRule="exact"/>
              <w:jc w:val="center"/>
              <w:rPr>
                <w:rFonts w:eastAsia="黑体"/>
                <w:kern w:val="0"/>
                <w:szCs w:val="21"/>
              </w:rPr>
            </w:pPr>
            <w:r>
              <w:rPr>
                <w:rFonts w:eastAsia="黑体"/>
                <w:kern w:val="0"/>
                <w:szCs w:val="21"/>
              </w:rPr>
              <w:t>违法事项</w:t>
            </w:r>
          </w:p>
        </w:tc>
        <w:tc>
          <w:tcPr>
            <w:tcW w:w="4728" w:type="dxa"/>
            <w:shd w:val="clear" w:color="auto" w:fill="auto"/>
            <w:noWrap/>
            <w:vAlign w:val="center"/>
          </w:tcPr>
          <w:p>
            <w:pPr>
              <w:widowControl/>
              <w:spacing w:line="240" w:lineRule="exact"/>
              <w:jc w:val="center"/>
              <w:rPr>
                <w:rFonts w:eastAsia="黑体"/>
                <w:kern w:val="0"/>
                <w:szCs w:val="21"/>
              </w:rPr>
            </w:pPr>
            <w:r>
              <w:rPr>
                <w:rFonts w:eastAsia="黑体"/>
                <w:kern w:val="0"/>
                <w:szCs w:val="21"/>
              </w:rPr>
              <w:t>设定依据</w:t>
            </w:r>
          </w:p>
        </w:tc>
        <w:tc>
          <w:tcPr>
            <w:tcW w:w="2578" w:type="dxa"/>
            <w:shd w:val="clear" w:color="auto" w:fill="auto"/>
            <w:noWrap/>
            <w:vAlign w:val="center"/>
          </w:tcPr>
          <w:p>
            <w:pPr>
              <w:widowControl/>
              <w:spacing w:line="240" w:lineRule="exact"/>
              <w:jc w:val="center"/>
              <w:rPr>
                <w:rFonts w:eastAsia="黑体"/>
                <w:kern w:val="0"/>
                <w:szCs w:val="21"/>
              </w:rPr>
            </w:pPr>
            <w:r>
              <w:rPr>
                <w:rFonts w:eastAsia="黑体"/>
                <w:kern w:val="0"/>
                <w:szCs w:val="21"/>
              </w:rPr>
              <w:t>首违不罚的情形</w:t>
            </w:r>
          </w:p>
        </w:tc>
        <w:tc>
          <w:tcPr>
            <w:tcW w:w="1442" w:type="dxa"/>
            <w:shd w:val="clear" w:color="auto" w:fill="auto"/>
            <w:noWrap/>
            <w:vAlign w:val="center"/>
          </w:tcPr>
          <w:p>
            <w:pPr>
              <w:widowControl/>
              <w:spacing w:line="240" w:lineRule="exact"/>
              <w:jc w:val="center"/>
              <w:rPr>
                <w:rFonts w:eastAsia="黑体"/>
                <w:kern w:val="0"/>
                <w:szCs w:val="21"/>
              </w:rPr>
            </w:pPr>
            <w:r>
              <w:rPr>
                <w:rFonts w:eastAsia="黑体"/>
                <w:kern w:val="0"/>
                <w:szCs w:val="21"/>
              </w:rPr>
              <w:t>首违不罚</w:t>
            </w:r>
          </w:p>
          <w:p>
            <w:pPr>
              <w:widowControl/>
              <w:spacing w:line="240" w:lineRule="exact"/>
              <w:jc w:val="center"/>
              <w:rPr>
                <w:rFonts w:eastAsia="黑体"/>
                <w:kern w:val="0"/>
                <w:szCs w:val="21"/>
              </w:rPr>
            </w:pPr>
            <w:r>
              <w:rPr>
                <w:rFonts w:eastAsia="黑体"/>
                <w:kern w:val="0"/>
                <w:szCs w:val="21"/>
              </w:rPr>
              <w:t>的依据</w:t>
            </w:r>
          </w:p>
        </w:tc>
        <w:tc>
          <w:tcPr>
            <w:tcW w:w="1842" w:type="dxa"/>
            <w:shd w:val="clear" w:color="auto" w:fill="auto"/>
            <w:noWrap/>
            <w:vAlign w:val="center"/>
          </w:tcPr>
          <w:p>
            <w:pPr>
              <w:widowControl/>
              <w:spacing w:line="240" w:lineRule="exact"/>
              <w:jc w:val="center"/>
              <w:rPr>
                <w:rFonts w:eastAsia="黑体"/>
                <w:kern w:val="0"/>
                <w:szCs w:val="21"/>
              </w:rPr>
            </w:pPr>
            <w:r>
              <w:rPr>
                <w:rFonts w:eastAsia="黑体"/>
                <w:kern w:val="0"/>
                <w:szCs w:val="21"/>
              </w:rPr>
              <w:t>后续监管措施</w:t>
            </w:r>
          </w:p>
        </w:tc>
        <w:tc>
          <w:tcPr>
            <w:tcW w:w="670" w:type="dxa"/>
            <w:shd w:val="clear" w:color="auto" w:fill="auto"/>
            <w:noWrap/>
            <w:vAlign w:val="center"/>
          </w:tcPr>
          <w:p>
            <w:pPr>
              <w:widowControl/>
              <w:spacing w:line="240" w:lineRule="exact"/>
              <w:jc w:val="center"/>
              <w:rPr>
                <w:rFonts w:eastAsia="黑体"/>
                <w:snapToGrid w:val="0"/>
                <w:spacing w:val="-2"/>
                <w:kern w:val="0"/>
                <w:szCs w:val="21"/>
              </w:rPr>
            </w:pPr>
            <w:r>
              <w:rPr>
                <w:rFonts w:eastAsia="黑体"/>
                <w:snapToGrid w:val="0"/>
                <w:spacing w:val="-2"/>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6" w:hRule="atLeast"/>
          <w:jc w:val="center"/>
        </w:trPr>
        <w:tc>
          <w:tcPr>
            <w:tcW w:w="567"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1</w:t>
            </w:r>
          </w:p>
        </w:tc>
        <w:tc>
          <w:tcPr>
            <w:tcW w:w="1206"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4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76"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拒不履行土地复垦义务</w:t>
            </w:r>
          </w:p>
        </w:tc>
        <w:tc>
          <w:tcPr>
            <w:tcW w:w="472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【法律】</w:t>
            </w:r>
          </w:p>
          <w:p>
            <w:pPr>
              <w:widowControl/>
              <w:spacing w:line="240" w:lineRule="exact"/>
              <w:rPr>
                <w:rFonts w:eastAsia="仿宋_GB2312"/>
                <w:kern w:val="0"/>
                <w:sz w:val="18"/>
                <w:szCs w:val="18"/>
              </w:rPr>
            </w:pPr>
            <w:r>
              <w:rPr>
                <w:rFonts w:eastAsia="仿宋_GB2312"/>
                <w:kern w:val="0"/>
                <w:sz w:val="18"/>
                <w:szCs w:val="18"/>
              </w:rPr>
              <w:t>《中华人民共和国土地管理法》（2019年修正）第四十三条  因挖损、塌陷、压占等造成土地破坏，用地单位和个人应当按照国家有关规定负责复垦；没有条件复垦或者复垦不符合要求的，应当缴纳土地复垦费，专项用于土地复垦。复垦的土地应当优先用于农业。</w:t>
            </w:r>
          </w:p>
          <w:p>
            <w:pPr>
              <w:widowControl/>
              <w:spacing w:line="240" w:lineRule="exact"/>
              <w:rPr>
                <w:rFonts w:eastAsia="仿宋_GB2312"/>
                <w:kern w:val="0"/>
                <w:sz w:val="18"/>
                <w:szCs w:val="18"/>
              </w:rPr>
            </w:pPr>
            <w:r>
              <w:rPr>
                <w:rFonts w:eastAsia="仿宋_GB2312"/>
                <w:kern w:val="0"/>
                <w:sz w:val="18"/>
                <w:szCs w:val="18"/>
              </w:rPr>
              <w:t>《中华人民共和国土地管理法》第七十六条  违反本法规定，拒不履行土地复垦义务的，由县级以上人民政府自然资源主管部门责令限期改正；逾期不改正的，责令缴纳复垦费，专项用于土地复垦，可以处以罚款。</w:t>
            </w:r>
            <w:r>
              <w:rPr>
                <w:rFonts w:eastAsia="仿宋_GB2312"/>
                <w:kern w:val="0"/>
                <w:sz w:val="18"/>
                <w:szCs w:val="18"/>
              </w:rPr>
              <w:br w:type="textWrapping"/>
            </w:r>
            <w:r>
              <w:rPr>
                <w:rFonts w:eastAsia="仿宋_GB2312"/>
                <w:kern w:val="0"/>
                <w:sz w:val="18"/>
                <w:szCs w:val="18"/>
              </w:rPr>
              <w:t>【行政法规】</w:t>
            </w:r>
            <w:r>
              <w:rPr>
                <w:rFonts w:eastAsia="仿宋_GB2312"/>
                <w:kern w:val="0"/>
                <w:sz w:val="18"/>
                <w:szCs w:val="18"/>
              </w:rPr>
              <w:br w:type="textWrapping"/>
            </w:r>
            <w:r>
              <w:rPr>
                <w:rFonts w:eastAsia="仿宋_GB2312"/>
                <w:kern w:val="0"/>
                <w:sz w:val="18"/>
                <w:szCs w:val="18"/>
              </w:rPr>
              <w:t>《中华人民共和国土地管理法实施条例》（2021年修订）第五十六条第一款  依照《土地管理法》第七十六条的规定处以罚款的，罚款额为土地复垦费的2倍以上5倍以下。</w:t>
            </w:r>
          </w:p>
        </w:tc>
        <w:tc>
          <w:tcPr>
            <w:tcW w:w="257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初次违法且危害后果轻微并及时改正的。</w:t>
            </w:r>
          </w:p>
        </w:tc>
        <w:tc>
          <w:tcPr>
            <w:tcW w:w="14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《中华人民共和国行政处罚法》第三十三条</w:t>
            </w:r>
          </w:p>
        </w:tc>
        <w:tc>
          <w:tcPr>
            <w:tcW w:w="18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1.违法行为登记，并录入执法系统。2.首违不罚的处罚结果公示。3.加强日常监管巡查。4.及时办理转办督办事项。5.及时查处举报事项。</w:t>
            </w:r>
          </w:p>
        </w:tc>
        <w:tc>
          <w:tcPr>
            <w:tcW w:w="670" w:type="dxa"/>
            <w:shd w:val="clear" w:color="auto" w:fill="auto"/>
            <w:noWrap/>
            <w:vAlign w:val="center"/>
          </w:tcPr>
          <w:p>
            <w:pPr>
              <w:widowControl/>
              <w:spacing w:line="240" w:lineRule="exac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9" w:hRule="atLeast"/>
          <w:jc w:val="center"/>
        </w:trPr>
        <w:tc>
          <w:tcPr>
            <w:tcW w:w="567"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2</w:t>
            </w:r>
          </w:p>
        </w:tc>
        <w:tc>
          <w:tcPr>
            <w:tcW w:w="1206"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4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76"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临时用地期满之日起一年内未完成复垦或者未恢复种植条件</w:t>
            </w:r>
          </w:p>
        </w:tc>
        <w:tc>
          <w:tcPr>
            <w:tcW w:w="472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【法律】</w:t>
            </w:r>
            <w:r>
              <w:rPr>
                <w:rFonts w:eastAsia="仿宋_GB2312"/>
                <w:kern w:val="0"/>
                <w:sz w:val="18"/>
                <w:szCs w:val="18"/>
              </w:rPr>
              <w:br w:type="textWrapping"/>
            </w:r>
            <w:r>
              <w:rPr>
                <w:rFonts w:eastAsia="仿宋_GB2312"/>
                <w:kern w:val="0"/>
                <w:sz w:val="18"/>
                <w:szCs w:val="18"/>
              </w:rPr>
              <w:t>《中华人民共和国土地管理法》（2019年修正）第七十六条  违反本法规定，拒不履行土地复垦义务的，由县级以上人民政府自然资源主管部门责令限期改正；逾期不改正的，责令缴纳复垦费，专项用于土地复垦，可以处以罚款。</w:t>
            </w:r>
            <w:r>
              <w:rPr>
                <w:rFonts w:eastAsia="仿宋_GB2312"/>
                <w:kern w:val="0"/>
                <w:sz w:val="18"/>
                <w:szCs w:val="18"/>
              </w:rPr>
              <w:br w:type="textWrapping"/>
            </w:r>
            <w:r>
              <w:rPr>
                <w:rFonts w:eastAsia="仿宋_GB2312"/>
                <w:kern w:val="0"/>
                <w:sz w:val="18"/>
                <w:szCs w:val="18"/>
              </w:rPr>
              <w:t>【行政法规】</w:t>
            </w:r>
            <w:r>
              <w:rPr>
                <w:rFonts w:eastAsia="仿宋_GB2312"/>
                <w:kern w:val="0"/>
                <w:sz w:val="18"/>
                <w:szCs w:val="18"/>
              </w:rPr>
              <w:br w:type="textWrapping"/>
            </w:r>
            <w:r>
              <w:rPr>
                <w:rFonts w:eastAsia="仿宋_GB2312"/>
                <w:kern w:val="0"/>
                <w:sz w:val="18"/>
                <w:szCs w:val="18"/>
              </w:rPr>
              <w:t>《中华人民共和国土地管理法实施条例》（2021年修订）第二十条第三款  土地使用者应当自临时用地期满之日起一年内完成土地复垦，使其达到可供利用状态，其中占用耕地的应当恢复种植条件。</w:t>
            </w:r>
          </w:p>
          <w:p>
            <w:pPr>
              <w:widowControl/>
              <w:spacing w:line="240" w:lineRule="exact"/>
              <w:rPr>
                <w:rFonts w:eastAsia="仿宋_GB2312"/>
                <w:kern w:val="0"/>
                <w:sz w:val="18"/>
                <w:szCs w:val="18"/>
              </w:rPr>
            </w:pPr>
            <w:r>
              <w:rPr>
                <w:rFonts w:eastAsia="仿宋_GB2312"/>
                <w:kern w:val="0"/>
                <w:sz w:val="18"/>
                <w:szCs w:val="18"/>
              </w:rPr>
              <w:t>第五十六条第二款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57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初次违法且危害后果轻微并及时改正的</w:t>
            </w:r>
          </w:p>
        </w:tc>
        <w:tc>
          <w:tcPr>
            <w:tcW w:w="14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《中华人民共和国行政处罚法》第三十三条</w:t>
            </w:r>
          </w:p>
        </w:tc>
        <w:tc>
          <w:tcPr>
            <w:tcW w:w="18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1.违法行为登记，并录入执法系统。2.首违不罚的处罚结果公示。3.加强日常监管巡查。4.及时办理转办督办事项。5.及时查处举报事项。</w:t>
            </w:r>
          </w:p>
        </w:tc>
        <w:tc>
          <w:tcPr>
            <w:tcW w:w="670" w:type="dxa"/>
            <w:shd w:val="clear" w:color="auto" w:fill="auto"/>
            <w:noWrap/>
            <w:vAlign w:val="center"/>
          </w:tcPr>
          <w:p>
            <w:pPr>
              <w:widowControl/>
              <w:spacing w:line="240" w:lineRule="exac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8" w:hRule="atLeast"/>
          <w:jc w:val="center"/>
        </w:trPr>
        <w:tc>
          <w:tcPr>
            <w:tcW w:w="567"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3</w:t>
            </w:r>
          </w:p>
        </w:tc>
        <w:tc>
          <w:tcPr>
            <w:tcW w:w="1206"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4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76"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地质灾害治理工程监理资质单位不按照规定进行备案</w:t>
            </w:r>
          </w:p>
        </w:tc>
        <w:tc>
          <w:tcPr>
            <w:tcW w:w="472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【部门规章】</w:t>
            </w:r>
            <w:r>
              <w:rPr>
                <w:rFonts w:eastAsia="仿宋_GB2312"/>
                <w:kern w:val="0"/>
                <w:sz w:val="18"/>
                <w:szCs w:val="18"/>
              </w:rPr>
              <w:br w:type="textWrapping"/>
            </w:r>
            <w:r>
              <w:rPr>
                <w:rFonts w:eastAsia="仿宋_GB2312"/>
                <w:kern w:val="0"/>
                <w:sz w:val="18"/>
                <w:szCs w:val="18"/>
              </w:rPr>
              <w:t>《地质灾害治理工程监理单位资质管理办法》（2019年修正）第二十五条  地质灾害治理工程监理资质单位，对承担的监理项目，应当在监理合同签订后十日内，到工程所在地县级自然资源主管部门备案。</w:t>
            </w:r>
          </w:p>
          <w:p>
            <w:pPr>
              <w:widowControl/>
              <w:spacing w:line="240" w:lineRule="exact"/>
              <w:rPr>
                <w:rFonts w:eastAsia="仿宋_GB2312"/>
                <w:kern w:val="0"/>
                <w:sz w:val="18"/>
                <w:szCs w:val="18"/>
              </w:rPr>
            </w:pPr>
            <w:r>
              <w:rPr>
                <w:rFonts w:eastAsia="仿宋_GB2312"/>
                <w:kern w:val="0"/>
                <w:sz w:val="18"/>
                <w:szCs w:val="18"/>
              </w:rPr>
              <w:t>《地质灾害治理工程监理单位资质管理办法》第二十七条  资质单位不按照本办法第二十五条的规定进行备案的，由县级以上自然资源主管部门责令限期改正；逾期不改的，可以处一万元以下罚款。</w:t>
            </w:r>
          </w:p>
        </w:tc>
        <w:tc>
          <w:tcPr>
            <w:tcW w:w="257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初次违法且危害后果轻微并及时改正的。</w:t>
            </w:r>
          </w:p>
        </w:tc>
        <w:tc>
          <w:tcPr>
            <w:tcW w:w="14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《中华人民共和国行政处罚法》第三十三条</w:t>
            </w:r>
          </w:p>
        </w:tc>
        <w:tc>
          <w:tcPr>
            <w:tcW w:w="18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1.违法行为登记，并录入执法系统。2.首违不罚的处罚结果公示。3.加强日常监管巡查。4.及时办理转办督办事项。5.及时查处举报事项。</w:t>
            </w:r>
          </w:p>
        </w:tc>
        <w:tc>
          <w:tcPr>
            <w:tcW w:w="670" w:type="dxa"/>
            <w:shd w:val="clear" w:color="auto" w:fill="auto"/>
            <w:noWrap/>
            <w:vAlign w:val="center"/>
          </w:tcPr>
          <w:p>
            <w:pPr>
              <w:widowControl/>
              <w:spacing w:line="240" w:lineRule="exac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2" w:hRule="atLeast"/>
          <w:jc w:val="center"/>
        </w:trPr>
        <w:tc>
          <w:tcPr>
            <w:tcW w:w="567"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4</w:t>
            </w:r>
          </w:p>
        </w:tc>
        <w:tc>
          <w:tcPr>
            <w:tcW w:w="1206"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4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76"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不汇交测绘成果资料的，测绘项目出资人逾期不汇交的，承担国家投资的测绘项目的单位逾期不汇交的，自暂扣测绘资质证书之日起六个月内仍不汇交</w:t>
            </w:r>
          </w:p>
        </w:tc>
        <w:tc>
          <w:tcPr>
            <w:tcW w:w="472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【法律】</w:t>
            </w:r>
            <w:r>
              <w:rPr>
                <w:rFonts w:eastAsia="仿宋_GB2312"/>
                <w:kern w:val="0"/>
                <w:sz w:val="18"/>
                <w:szCs w:val="18"/>
              </w:rPr>
              <w:br w:type="textWrapping"/>
            </w:r>
            <w:r>
              <w:rPr>
                <w:rFonts w:eastAsia="仿宋_GB2312"/>
                <w:kern w:val="0"/>
                <w:sz w:val="18"/>
                <w:szCs w:val="18"/>
              </w:rPr>
              <w:t>《中华人民共和国测绘法》（2017年修订）第三十三条第二款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p>
            <w:pPr>
              <w:widowControl/>
              <w:spacing w:line="240" w:lineRule="exact"/>
              <w:rPr>
                <w:rFonts w:eastAsia="仿宋_GB2312"/>
                <w:kern w:val="0"/>
                <w:sz w:val="18"/>
                <w:szCs w:val="18"/>
              </w:rPr>
            </w:pPr>
            <w:r>
              <w:rPr>
                <w:rFonts w:eastAsia="仿宋_GB2312"/>
                <w:kern w:val="0"/>
                <w:sz w:val="18"/>
                <w:szCs w:val="18"/>
              </w:rPr>
              <w:t>《中华人民共和国测绘法》第六十条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257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初次违法且危害后果轻微并及时改正的。</w:t>
            </w:r>
          </w:p>
        </w:tc>
        <w:tc>
          <w:tcPr>
            <w:tcW w:w="14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《中华人民共和国行政处罚法》第三十三条</w:t>
            </w:r>
          </w:p>
        </w:tc>
        <w:tc>
          <w:tcPr>
            <w:tcW w:w="18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1.违法行为登记，并录入执法系统。2.首违不罚的处罚结果公示。3.加强日常监管巡查。4.及时办理转办督办事项。5.及时查处举报事项。</w:t>
            </w:r>
          </w:p>
        </w:tc>
        <w:tc>
          <w:tcPr>
            <w:tcW w:w="670" w:type="dxa"/>
            <w:shd w:val="clear" w:color="auto" w:fill="auto"/>
            <w:noWrap/>
            <w:vAlign w:val="center"/>
          </w:tcPr>
          <w:p>
            <w:pPr>
              <w:widowControl/>
              <w:spacing w:line="240" w:lineRule="exac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8" w:hRule="atLeast"/>
          <w:jc w:val="center"/>
        </w:trPr>
        <w:tc>
          <w:tcPr>
            <w:tcW w:w="567"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5</w:t>
            </w:r>
          </w:p>
        </w:tc>
        <w:tc>
          <w:tcPr>
            <w:tcW w:w="1206"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4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76"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建设单位未在建设工程竣工验收后六个月内向城乡规划主管部门报送有关竣工验收资料</w:t>
            </w:r>
          </w:p>
        </w:tc>
        <w:tc>
          <w:tcPr>
            <w:tcW w:w="472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【法律】</w:t>
            </w:r>
            <w:r>
              <w:rPr>
                <w:rFonts w:eastAsia="仿宋_GB2312"/>
                <w:kern w:val="0"/>
                <w:sz w:val="18"/>
                <w:szCs w:val="18"/>
              </w:rPr>
              <w:br w:type="textWrapping"/>
            </w:r>
            <w:r>
              <w:rPr>
                <w:rFonts w:eastAsia="仿宋_GB2312"/>
                <w:kern w:val="0"/>
                <w:sz w:val="18"/>
                <w:szCs w:val="18"/>
              </w:rPr>
              <w:t>《中华人民共和国城乡规划法》（2019年修正）第四十五条第二款  建设单位应当在竣工验收后六个月内向城乡规划主管部门报送有关竣工验收资料。</w:t>
            </w:r>
          </w:p>
          <w:p>
            <w:pPr>
              <w:widowControl/>
              <w:spacing w:line="240" w:lineRule="exact"/>
              <w:rPr>
                <w:rFonts w:eastAsia="仿宋_GB2312"/>
                <w:kern w:val="0"/>
                <w:sz w:val="18"/>
                <w:szCs w:val="18"/>
              </w:rPr>
            </w:pPr>
            <w:r>
              <w:rPr>
                <w:rFonts w:eastAsia="仿宋_GB2312"/>
                <w:kern w:val="0"/>
                <w:sz w:val="18"/>
                <w:szCs w:val="18"/>
              </w:rPr>
              <w:t>《中华人民共和国城乡规划法》第六十七条  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257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初次违法且危害后果轻微并及时改正的。</w:t>
            </w:r>
          </w:p>
        </w:tc>
        <w:tc>
          <w:tcPr>
            <w:tcW w:w="14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《中华人民共和国行政处罚法》第三十三条</w:t>
            </w:r>
          </w:p>
        </w:tc>
        <w:tc>
          <w:tcPr>
            <w:tcW w:w="18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1.违法行为登记，并录入执法系统。2.首违不罚的处罚结果公示。3.加强日常监管巡查。4.及时办理转办督办事项。5.及时查处举报事项。</w:t>
            </w:r>
          </w:p>
        </w:tc>
        <w:tc>
          <w:tcPr>
            <w:tcW w:w="670" w:type="dxa"/>
            <w:shd w:val="clear" w:color="auto" w:fill="auto"/>
            <w:noWrap/>
            <w:vAlign w:val="center"/>
          </w:tcPr>
          <w:p>
            <w:pPr>
              <w:widowControl/>
              <w:spacing w:line="240" w:lineRule="exac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8" w:hRule="atLeast"/>
          <w:jc w:val="center"/>
        </w:trPr>
        <w:tc>
          <w:tcPr>
            <w:tcW w:w="567"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6</w:t>
            </w:r>
          </w:p>
        </w:tc>
        <w:tc>
          <w:tcPr>
            <w:tcW w:w="1206"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4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76"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地质灾害治理工程监理资质单位不按照规定及时办理资质证书变更、注销手续的</w:t>
            </w:r>
          </w:p>
        </w:tc>
        <w:tc>
          <w:tcPr>
            <w:tcW w:w="472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【部门规章】</w:t>
            </w:r>
            <w:r>
              <w:rPr>
                <w:rFonts w:eastAsia="仿宋_GB2312"/>
                <w:kern w:val="0"/>
                <w:sz w:val="18"/>
                <w:szCs w:val="18"/>
              </w:rPr>
              <w:br w:type="textWrapping"/>
            </w:r>
            <w:r>
              <w:rPr>
                <w:rFonts w:eastAsia="仿宋_GB2312"/>
                <w:kern w:val="0"/>
                <w:sz w:val="18"/>
                <w:szCs w:val="18"/>
              </w:rPr>
              <w:t>《地质灾害治理工程监理单位资质管理办法》（国土资源部令第31号）第十八条  资质单位发生合并或者分立的，应当及时到原审批机关办理资质证书注销手续。需要继续从业的，重新申请。</w:t>
            </w:r>
            <w:r>
              <w:rPr>
                <w:rFonts w:eastAsia="仿宋_GB2312"/>
                <w:kern w:val="0"/>
                <w:sz w:val="18"/>
                <w:szCs w:val="18"/>
              </w:rPr>
              <w:br w:type="textWrapping"/>
            </w:r>
            <w:r>
              <w:rPr>
                <w:rFonts w:eastAsia="仿宋_GB2312"/>
                <w:kern w:val="0"/>
                <w:sz w:val="18"/>
                <w:szCs w:val="18"/>
              </w:rPr>
              <w:t>《地质灾害治理工程监理单位资质管理办法》（国土资源部令第31号）第十九条  资质单位名称、地址、法定代表人、技术负责人等事项发生变更的，应当在变更后三十日内，到原审批机关办理资质证书变更手续。</w:t>
            </w:r>
            <w:r>
              <w:rPr>
                <w:rFonts w:eastAsia="仿宋_GB2312"/>
                <w:kern w:val="0"/>
                <w:sz w:val="18"/>
                <w:szCs w:val="18"/>
              </w:rPr>
              <w:br w:type="textWrapping"/>
            </w:r>
            <w:r>
              <w:rPr>
                <w:rFonts w:eastAsia="仿宋_GB2312"/>
                <w:kern w:val="0"/>
                <w:sz w:val="18"/>
                <w:szCs w:val="18"/>
              </w:rPr>
              <w:t>《地质灾害治理工程监理单位资质管理办法》（国土资源部令第31号）第二十条  资质单位破产、歇业或者因其他原因终止业务活动的，应当在办理营业执照注销手续后十五日内，到原审批机关办理资质证书注销手续。</w:t>
            </w:r>
            <w:r>
              <w:rPr>
                <w:rFonts w:eastAsia="仿宋_GB2312"/>
                <w:kern w:val="0"/>
                <w:sz w:val="18"/>
                <w:szCs w:val="18"/>
              </w:rPr>
              <w:br w:type="textWrapping"/>
            </w:r>
            <w:r>
              <w:rPr>
                <w:rFonts w:eastAsia="仿宋_GB2312"/>
                <w:kern w:val="0"/>
                <w:sz w:val="18"/>
                <w:szCs w:val="18"/>
              </w:rPr>
              <w:t>《地质灾害治理工程监理单位资质管理办法》（国土资源部令第31号）第二十六条  资质单位不按照本办法第十八条、第十九条和第二十条的规定即时办理资质证书变更、注销手续的，由县级以上自然资源主管部门责令限期改正；逾期不改的，可以处五千元以下罚款。</w:t>
            </w:r>
          </w:p>
        </w:tc>
        <w:tc>
          <w:tcPr>
            <w:tcW w:w="257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初次违法且危害后果轻微并及时改正的。</w:t>
            </w:r>
          </w:p>
        </w:tc>
        <w:tc>
          <w:tcPr>
            <w:tcW w:w="14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《中华人民共和国行政处罚法》第三十三条</w:t>
            </w:r>
          </w:p>
        </w:tc>
        <w:tc>
          <w:tcPr>
            <w:tcW w:w="1842"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1.违法行为登记，并录入执法系统。2.首违不罚的处罚结果公示。3.加强日常监管巡查。4.及时办理转办督办事项。5.及时查处举报事项。</w:t>
            </w:r>
          </w:p>
        </w:tc>
        <w:tc>
          <w:tcPr>
            <w:tcW w:w="670" w:type="dxa"/>
            <w:shd w:val="clear" w:color="auto" w:fill="auto"/>
            <w:noWrap/>
            <w:vAlign w:val="center"/>
          </w:tcPr>
          <w:p>
            <w:pPr>
              <w:widowControl/>
              <w:spacing w:line="240" w:lineRule="exact"/>
              <w:rPr>
                <w:rFonts w:eastAsia="仿宋_GB2312"/>
                <w:kern w:val="0"/>
                <w:sz w:val="18"/>
                <w:szCs w:val="18"/>
              </w:rPr>
            </w:pPr>
          </w:p>
        </w:tc>
      </w:tr>
    </w:tbl>
    <w:p>
      <w:pPr>
        <w:adjustRightInd w:val="0"/>
        <w:snapToGrid w:val="0"/>
        <w:spacing w:line="560" w:lineRule="exact"/>
        <w:rPr>
          <w:rFonts w:eastAsia="黑体"/>
          <w:snapToGrid w:val="0"/>
          <w:kern w:val="0"/>
          <w:sz w:val="32"/>
          <w:szCs w:val="32"/>
        </w:rPr>
      </w:pPr>
    </w:p>
    <w:p>
      <w:pPr>
        <w:adjustRightInd w:val="0"/>
        <w:snapToGrid w:val="0"/>
        <w:spacing w:line="560" w:lineRule="exact"/>
        <w:rPr>
          <w:rFonts w:eastAsia="黑体"/>
          <w:snapToGrid w:val="0"/>
          <w:kern w:val="0"/>
          <w:sz w:val="32"/>
          <w:szCs w:val="32"/>
        </w:rPr>
      </w:pPr>
      <w:r>
        <w:rPr>
          <w:rFonts w:eastAsia="黑体"/>
          <w:snapToGrid w:val="0"/>
          <w:kern w:val="0"/>
          <w:sz w:val="32"/>
          <w:szCs w:val="32"/>
        </w:rPr>
        <w:t>附件2</w:t>
      </w:r>
    </w:p>
    <w:p>
      <w:pPr>
        <w:adjustRightInd w:val="0"/>
        <w:snapToGrid w:val="0"/>
        <w:spacing w:line="560" w:lineRule="exact"/>
        <w:rPr>
          <w:rFonts w:eastAsia="仿宋_GB2312"/>
          <w:snapToGrid w:val="0"/>
          <w:kern w:val="0"/>
          <w:sz w:val="18"/>
          <w:szCs w:val="18"/>
        </w:rPr>
      </w:pPr>
    </w:p>
    <w:p>
      <w:pPr>
        <w:adjustRightInd w:val="0"/>
        <w:snapToGrid w:val="0"/>
        <w:spacing w:line="560" w:lineRule="exact"/>
        <w:jc w:val="center"/>
        <w:rPr>
          <w:rFonts w:eastAsia="方正小标宋简体"/>
          <w:snapToGrid w:val="0"/>
          <w:kern w:val="0"/>
          <w:sz w:val="44"/>
          <w:szCs w:val="44"/>
        </w:rPr>
      </w:pPr>
      <w:r>
        <w:rPr>
          <w:rFonts w:eastAsia="方正小标宋简体"/>
          <w:snapToGrid w:val="0"/>
          <w:kern w:val="0"/>
          <w:sz w:val="44"/>
          <w:szCs w:val="44"/>
        </w:rPr>
        <w:t>不予行政处罚事项清单</w:t>
      </w:r>
      <w:r>
        <w:rPr>
          <w:rFonts w:hint="eastAsia" w:eastAsia="方正小标宋简体"/>
          <w:snapToGrid w:val="0"/>
          <w:kern w:val="0"/>
          <w:sz w:val="44"/>
          <w:szCs w:val="44"/>
          <w:lang w:eastAsia="zh-CN"/>
        </w:rPr>
        <w:t>（</w:t>
      </w:r>
      <w:r>
        <w:rPr>
          <w:rFonts w:hint="eastAsia" w:eastAsia="方正小标宋简体"/>
          <w:snapToGrid w:val="0"/>
          <w:kern w:val="0"/>
          <w:sz w:val="44"/>
          <w:szCs w:val="44"/>
          <w:lang w:val="en-US" w:eastAsia="zh-CN"/>
        </w:rPr>
        <w:t>自然资源和规划局</w:t>
      </w:r>
      <w:r>
        <w:rPr>
          <w:rFonts w:hint="eastAsia" w:eastAsia="方正小标宋简体"/>
          <w:snapToGrid w:val="0"/>
          <w:kern w:val="0"/>
          <w:sz w:val="44"/>
          <w:szCs w:val="44"/>
          <w:lang w:eastAsia="zh-CN"/>
        </w:rPr>
        <w:t>）</w:t>
      </w:r>
    </w:p>
    <w:p>
      <w:pPr>
        <w:adjustRightInd w:val="0"/>
        <w:snapToGrid w:val="0"/>
        <w:spacing w:line="560" w:lineRule="exact"/>
        <w:jc w:val="center"/>
        <w:rPr>
          <w:rFonts w:eastAsia="方正小标宋简体"/>
          <w:snapToGrid w:val="0"/>
          <w:kern w:val="0"/>
          <w:sz w:val="44"/>
          <w:szCs w:val="44"/>
        </w:rPr>
      </w:pPr>
    </w:p>
    <w:tbl>
      <w:tblPr>
        <w:tblStyle w:val="11"/>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2"/>
        <w:gridCol w:w="1177"/>
        <w:gridCol w:w="1988"/>
        <w:gridCol w:w="4747"/>
        <w:gridCol w:w="2591"/>
        <w:gridCol w:w="1445"/>
        <w:gridCol w:w="1843"/>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blHeader/>
          <w:jc w:val="center"/>
        </w:trPr>
        <w:tc>
          <w:tcPr>
            <w:tcW w:w="568" w:type="dxa"/>
            <w:shd w:val="clear" w:color="auto" w:fill="auto"/>
            <w:noWrap/>
            <w:vAlign w:val="center"/>
          </w:tcPr>
          <w:p>
            <w:pPr>
              <w:widowControl/>
              <w:spacing w:line="240" w:lineRule="exact"/>
              <w:jc w:val="center"/>
              <w:rPr>
                <w:rFonts w:eastAsia="黑体"/>
                <w:kern w:val="0"/>
                <w:szCs w:val="21"/>
              </w:rPr>
            </w:pPr>
            <w:r>
              <w:rPr>
                <w:rFonts w:eastAsia="黑体"/>
                <w:kern w:val="0"/>
                <w:szCs w:val="21"/>
              </w:rPr>
              <w:t>序号</w:t>
            </w:r>
          </w:p>
        </w:tc>
        <w:tc>
          <w:tcPr>
            <w:tcW w:w="1132" w:type="dxa"/>
            <w:shd w:val="clear" w:color="auto" w:fill="auto"/>
            <w:noWrap/>
            <w:vAlign w:val="center"/>
          </w:tcPr>
          <w:p>
            <w:pPr>
              <w:widowControl/>
              <w:spacing w:line="240" w:lineRule="exact"/>
              <w:jc w:val="center"/>
              <w:rPr>
                <w:rFonts w:eastAsia="黑体"/>
                <w:kern w:val="0"/>
                <w:szCs w:val="21"/>
              </w:rPr>
            </w:pPr>
            <w:r>
              <w:rPr>
                <w:rFonts w:eastAsia="黑体"/>
                <w:kern w:val="0"/>
                <w:szCs w:val="21"/>
              </w:rPr>
              <w:t>管理</w:t>
            </w:r>
          </w:p>
          <w:p>
            <w:pPr>
              <w:widowControl/>
              <w:spacing w:line="240" w:lineRule="exact"/>
              <w:jc w:val="center"/>
              <w:rPr>
                <w:rFonts w:eastAsia="黑体"/>
                <w:kern w:val="0"/>
                <w:szCs w:val="21"/>
              </w:rPr>
            </w:pPr>
            <w:r>
              <w:rPr>
                <w:rFonts w:eastAsia="黑体"/>
                <w:kern w:val="0"/>
                <w:szCs w:val="21"/>
              </w:rPr>
              <w:t>领域</w:t>
            </w:r>
          </w:p>
        </w:tc>
        <w:tc>
          <w:tcPr>
            <w:tcW w:w="1177" w:type="dxa"/>
            <w:shd w:val="clear" w:color="auto" w:fill="auto"/>
            <w:noWrap/>
            <w:vAlign w:val="center"/>
          </w:tcPr>
          <w:p>
            <w:pPr>
              <w:widowControl/>
              <w:spacing w:line="240" w:lineRule="exact"/>
              <w:jc w:val="center"/>
              <w:rPr>
                <w:rFonts w:eastAsia="黑体"/>
                <w:kern w:val="0"/>
                <w:szCs w:val="21"/>
              </w:rPr>
            </w:pPr>
            <w:r>
              <w:rPr>
                <w:rFonts w:eastAsia="黑体"/>
                <w:kern w:val="0"/>
                <w:szCs w:val="21"/>
              </w:rPr>
              <w:t>主管</w:t>
            </w:r>
          </w:p>
          <w:p>
            <w:pPr>
              <w:widowControl/>
              <w:spacing w:line="240" w:lineRule="exact"/>
              <w:jc w:val="center"/>
              <w:rPr>
                <w:rFonts w:eastAsia="黑体"/>
                <w:kern w:val="0"/>
                <w:szCs w:val="21"/>
              </w:rPr>
            </w:pPr>
            <w:r>
              <w:rPr>
                <w:rFonts w:eastAsia="黑体"/>
                <w:kern w:val="0"/>
                <w:szCs w:val="21"/>
              </w:rPr>
              <w:t>部门</w:t>
            </w:r>
          </w:p>
        </w:tc>
        <w:tc>
          <w:tcPr>
            <w:tcW w:w="1988" w:type="dxa"/>
            <w:shd w:val="clear" w:color="auto" w:fill="auto"/>
            <w:noWrap/>
            <w:vAlign w:val="center"/>
          </w:tcPr>
          <w:p>
            <w:pPr>
              <w:widowControl/>
              <w:spacing w:line="240" w:lineRule="exact"/>
              <w:jc w:val="center"/>
              <w:rPr>
                <w:rFonts w:eastAsia="黑体"/>
                <w:kern w:val="0"/>
                <w:szCs w:val="21"/>
              </w:rPr>
            </w:pPr>
            <w:r>
              <w:rPr>
                <w:rFonts w:eastAsia="黑体"/>
                <w:kern w:val="0"/>
                <w:szCs w:val="21"/>
              </w:rPr>
              <w:t>违法事项</w:t>
            </w:r>
          </w:p>
        </w:tc>
        <w:tc>
          <w:tcPr>
            <w:tcW w:w="4747" w:type="dxa"/>
            <w:shd w:val="clear" w:color="auto" w:fill="auto"/>
            <w:noWrap/>
            <w:vAlign w:val="center"/>
          </w:tcPr>
          <w:p>
            <w:pPr>
              <w:widowControl/>
              <w:spacing w:line="240" w:lineRule="exact"/>
              <w:jc w:val="center"/>
              <w:rPr>
                <w:rFonts w:eastAsia="黑体"/>
                <w:kern w:val="0"/>
                <w:szCs w:val="21"/>
              </w:rPr>
            </w:pPr>
            <w:r>
              <w:rPr>
                <w:rFonts w:eastAsia="黑体"/>
                <w:kern w:val="0"/>
                <w:szCs w:val="21"/>
              </w:rPr>
              <w:t>设定依据</w:t>
            </w:r>
          </w:p>
        </w:tc>
        <w:tc>
          <w:tcPr>
            <w:tcW w:w="2591" w:type="dxa"/>
            <w:shd w:val="clear" w:color="auto" w:fill="auto"/>
            <w:noWrap/>
            <w:vAlign w:val="center"/>
          </w:tcPr>
          <w:p>
            <w:pPr>
              <w:widowControl/>
              <w:spacing w:line="240" w:lineRule="exact"/>
              <w:jc w:val="center"/>
              <w:rPr>
                <w:rFonts w:eastAsia="黑体"/>
                <w:kern w:val="0"/>
                <w:szCs w:val="21"/>
              </w:rPr>
            </w:pPr>
            <w:r>
              <w:rPr>
                <w:rFonts w:eastAsia="黑体"/>
                <w:kern w:val="0"/>
                <w:szCs w:val="21"/>
              </w:rPr>
              <w:t>不予行政处罚的情形</w:t>
            </w:r>
          </w:p>
        </w:tc>
        <w:tc>
          <w:tcPr>
            <w:tcW w:w="1445" w:type="dxa"/>
            <w:shd w:val="clear" w:color="auto" w:fill="auto"/>
            <w:noWrap/>
            <w:vAlign w:val="center"/>
          </w:tcPr>
          <w:p>
            <w:pPr>
              <w:widowControl/>
              <w:spacing w:line="240" w:lineRule="exact"/>
              <w:jc w:val="center"/>
              <w:rPr>
                <w:rFonts w:eastAsia="黑体"/>
                <w:kern w:val="0"/>
                <w:szCs w:val="21"/>
              </w:rPr>
            </w:pPr>
            <w:r>
              <w:rPr>
                <w:rFonts w:eastAsia="黑体"/>
                <w:kern w:val="0"/>
                <w:szCs w:val="21"/>
              </w:rPr>
              <w:t>不予行政</w:t>
            </w:r>
          </w:p>
          <w:p>
            <w:pPr>
              <w:widowControl/>
              <w:spacing w:line="240" w:lineRule="exact"/>
              <w:jc w:val="center"/>
              <w:rPr>
                <w:rFonts w:eastAsia="黑体"/>
                <w:kern w:val="0"/>
                <w:szCs w:val="21"/>
              </w:rPr>
            </w:pPr>
            <w:r>
              <w:rPr>
                <w:rFonts w:eastAsia="黑体"/>
                <w:kern w:val="0"/>
                <w:szCs w:val="21"/>
              </w:rPr>
              <w:t>处罚的依据</w:t>
            </w:r>
          </w:p>
        </w:tc>
        <w:tc>
          <w:tcPr>
            <w:tcW w:w="1843" w:type="dxa"/>
            <w:shd w:val="clear" w:color="auto" w:fill="auto"/>
            <w:noWrap/>
            <w:vAlign w:val="center"/>
          </w:tcPr>
          <w:p>
            <w:pPr>
              <w:widowControl/>
              <w:spacing w:line="240" w:lineRule="exact"/>
              <w:jc w:val="center"/>
              <w:rPr>
                <w:rFonts w:eastAsia="黑体"/>
                <w:kern w:val="0"/>
                <w:szCs w:val="21"/>
              </w:rPr>
            </w:pPr>
            <w:r>
              <w:rPr>
                <w:rFonts w:eastAsia="黑体"/>
                <w:kern w:val="0"/>
                <w:szCs w:val="21"/>
              </w:rPr>
              <w:t>后续监管措施</w:t>
            </w:r>
          </w:p>
        </w:tc>
        <w:tc>
          <w:tcPr>
            <w:tcW w:w="751" w:type="dxa"/>
            <w:shd w:val="clear" w:color="auto" w:fill="auto"/>
            <w:noWrap/>
            <w:vAlign w:val="center"/>
          </w:tcPr>
          <w:p>
            <w:pPr>
              <w:widowControl/>
              <w:spacing w:line="240" w:lineRule="exact"/>
              <w:jc w:val="center"/>
              <w:rPr>
                <w:rFonts w:eastAsia="黑体"/>
                <w:kern w:val="0"/>
                <w:szCs w:val="21"/>
              </w:rPr>
            </w:pPr>
            <w:r>
              <w:rPr>
                <w:rFonts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jc w:val="center"/>
        </w:trPr>
        <w:tc>
          <w:tcPr>
            <w:tcW w:w="568"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1</w:t>
            </w:r>
          </w:p>
        </w:tc>
        <w:tc>
          <w:tcPr>
            <w:tcW w:w="113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77"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8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非法占用土地</w:t>
            </w:r>
          </w:p>
        </w:tc>
        <w:tc>
          <w:tcPr>
            <w:tcW w:w="4747" w:type="dxa"/>
            <w:shd w:val="clear" w:color="auto" w:fill="auto"/>
            <w:noWrap/>
            <w:vAlign w:val="center"/>
          </w:tcPr>
          <w:p>
            <w:pPr>
              <w:widowControl/>
              <w:spacing w:line="240" w:lineRule="exact"/>
              <w:rPr>
                <w:rFonts w:eastAsia="仿宋_GB2312"/>
                <w:kern w:val="0"/>
                <w:sz w:val="18"/>
                <w:szCs w:val="18"/>
              </w:rPr>
            </w:pPr>
            <w:r>
              <w:rPr>
                <w:rFonts w:eastAsia="仿宋_GB2312"/>
                <w:spacing w:val="-6"/>
                <w:kern w:val="0"/>
                <w:sz w:val="18"/>
                <w:szCs w:val="18"/>
              </w:rPr>
              <w:t>《中华人民共和国土地管理法》第二条第三款  任何单位和个人不得侵占、买卖或者以其他形式非法转让土地。土地使用权可以依法转让。</w:t>
            </w:r>
            <w:r>
              <w:rPr>
                <w:rFonts w:eastAsia="仿宋_GB2312"/>
                <w:kern w:val="0"/>
                <w:sz w:val="18"/>
                <w:szCs w:val="18"/>
              </w:rPr>
              <w:br w:type="textWrapping"/>
            </w:r>
            <w:r>
              <w:rPr>
                <w:rFonts w:eastAsia="仿宋_GB2312"/>
                <w:kern w:val="0"/>
                <w:sz w:val="18"/>
                <w:szCs w:val="18"/>
              </w:rPr>
              <w:t>《中华人民共和国土地管理法》第七十七条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eastAsia="仿宋_GB2312"/>
                <w:kern w:val="0"/>
                <w:sz w:val="18"/>
                <w:szCs w:val="18"/>
              </w:rPr>
              <w:br w:type="textWrapping"/>
            </w:r>
            <w:r>
              <w:rPr>
                <w:rFonts w:eastAsia="仿宋_GB2312"/>
                <w:kern w:val="0"/>
                <w:sz w:val="18"/>
                <w:szCs w:val="18"/>
              </w:rPr>
              <w:t>超过批准的数量占用土地，多占的土地以非法占用土地论处。</w:t>
            </w:r>
            <w:r>
              <w:rPr>
                <w:rFonts w:eastAsia="仿宋_GB2312"/>
                <w:kern w:val="0"/>
                <w:sz w:val="18"/>
                <w:szCs w:val="18"/>
              </w:rPr>
              <w:br w:type="textWrapping"/>
            </w:r>
            <w:r>
              <w:rPr>
                <w:rFonts w:eastAsia="仿宋_GB2312"/>
                <w:kern w:val="0"/>
                <w:sz w:val="18"/>
                <w:szCs w:val="18"/>
              </w:rPr>
              <w:t>《中华人民共和国土地管理法实施条例》第五十七条第一款  依照《土地管理法》第七十七条的规定处以罚款的，罚款额为非法占用土地每平方米100元以上1000元以下。</w:t>
            </w:r>
          </w:p>
        </w:tc>
        <w:tc>
          <w:tcPr>
            <w:tcW w:w="2591" w:type="dxa"/>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不满十四周岁的未成年人有违法行为的，不予行政处罚；2.精神病人、智力残疾人在不能辨认或者不能控制自己行为时有违法行为的，不予行政处罚；3.违法行为轻微并及时改正，没有造成危害后果的，不予行政处罚；4.当事人有证据足以证明没有主观过错的。</w:t>
            </w:r>
          </w:p>
        </w:tc>
        <w:tc>
          <w:tcPr>
            <w:tcW w:w="1445"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《行政处罚法》第三十条、第三十一条、三十三条、第十六条第一款</w:t>
            </w:r>
          </w:p>
        </w:tc>
        <w:tc>
          <w:tcPr>
            <w:tcW w:w="1843"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1.公示不予行政处罚结果并录入执法监管系统。2.加强日常巡查检查。3.及时查处举报事项。4.及时办理转办督办事项。</w:t>
            </w:r>
          </w:p>
        </w:tc>
        <w:tc>
          <w:tcPr>
            <w:tcW w:w="751" w:type="dxa"/>
            <w:shd w:val="clear" w:color="auto" w:fill="auto"/>
            <w:noWrap/>
            <w:vAlign w:val="center"/>
          </w:tcPr>
          <w:p>
            <w:pPr>
              <w:widowControl/>
              <w:spacing w:line="240" w:lineRule="exac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jc w:val="center"/>
        </w:trPr>
        <w:tc>
          <w:tcPr>
            <w:tcW w:w="568"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2</w:t>
            </w:r>
          </w:p>
        </w:tc>
        <w:tc>
          <w:tcPr>
            <w:tcW w:w="113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77"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8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非法转让土地</w:t>
            </w:r>
          </w:p>
        </w:tc>
        <w:tc>
          <w:tcPr>
            <w:tcW w:w="4747"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《中华人民共和国土地管理法》第二条第三款  任何单位和个人不得侵占、买卖或者以其他形式非法转让土地。土地使用权可以依法转让。</w:t>
            </w:r>
            <w:r>
              <w:rPr>
                <w:rFonts w:eastAsia="仿宋_GB2312"/>
                <w:kern w:val="0"/>
                <w:sz w:val="18"/>
                <w:szCs w:val="18"/>
              </w:rPr>
              <w:br w:type="textWrapping"/>
            </w:r>
            <w:r>
              <w:rPr>
                <w:rFonts w:eastAsia="仿宋_GB2312"/>
                <w:kern w:val="0"/>
                <w:sz w:val="18"/>
                <w:szCs w:val="18"/>
              </w:rPr>
              <w:t>《中华人民共和国土地管理法》第七十四条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eastAsia="仿宋_GB2312"/>
                <w:kern w:val="0"/>
                <w:sz w:val="18"/>
                <w:szCs w:val="18"/>
              </w:rPr>
              <w:br w:type="textWrapping"/>
            </w:r>
            <w:r>
              <w:rPr>
                <w:rFonts w:eastAsia="仿宋_GB2312"/>
                <w:kern w:val="0"/>
                <w:sz w:val="18"/>
                <w:szCs w:val="18"/>
              </w:rPr>
              <w:t>《中华人民共和国土地管理法实施条例》第五十四条  依照《土地管理法》第七十四条的规定处以罚款的，罚款额为违法所得的10%以上50%以下。</w:t>
            </w:r>
          </w:p>
        </w:tc>
        <w:tc>
          <w:tcPr>
            <w:tcW w:w="2591" w:type="dxa"/>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不满十四周岁的未成年人有违法行为的，不予行政处罚；2.精神病人、智力残疾人在不能辨认或者不能控制自己行为时有违法行为的，不予行政处罚；3.违法行为轻微并及时改正，没有造成危害后果的，不予行政处罚；4.当事人有证据足以证明没有主观过错的。</w:t>
            </w:r>
          </w:p>
        </w:tc>
        <w:tc>
          <w:tcPr>
            <w:tcW w:w="1445"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《行政处罚法》第三十条、第三十一条、三十三条、第十六条第一款</w:t>
            </w:r>
          </w:p>
        </w:tc>
        <w:tc>
          <w:tcPr>
            <w:tcW w:w="1843"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1.公示不予行政处罚结果并录入执法监管系统。2.加强日常巡查检查。3.及时查处举报事项。4.及时办理转办督办事项。</w:t>
            </w:r>
          </w:p>
        </w:tc>
        <w:tc>
          <w:tcPr>
            <w:tcW w:w="751" w:type="dxa"/>
            <w:shd w:val="clear" w:color="auto" w:fill="auto"/>
            <w:noWrap/>
            <w:vAlign w:val="center"/>
          </w:tcPr>
          <w:p>
            <w:pPr>
              <w:widowControl/>
              <w:spacing w:line="240" w:lineRule="exac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6" w:hRule="atLeast"/>
          <w:jc w:val="center"/>
        </w:trPr>
        <w:tc>
          <w:tcPr>
            <w:tcW w:w="568" w:type="dxa"/>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3</w:t>
            </w:r>
          </w:p>
        </w:tc>
        <w:tc>
          <w:tcPr>
            <w:tcW w:w="1132"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1177" w:type="dxa"/>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1988"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破坏耕地种植条件</w:t>
            </w:r>
          </w:p>
        </w:tc>
        <w:tc>
          <w:tcPr>
            <w:tcW w:w="4747"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《中华人民共和国土地管理法》第三十七条第二款  禁止占用耕地建窑、建坟或者擅自在耕地上建房、挖砂、采石、采矿、取土等。</w:t>
            </w:r>
            <w:r>
              <w:rPr>
                <w:rFonts w:eastAsia="仿宋_GB2312"/>
                <w:kern w:val="0"/>
                <w:sz w:val="18"/>
                <w:szCs w:val="18"/>
              </w:rPr>
              <w:br w:type="textWrapping"/>
            </w:r>
            <w:r>
              <w:rPr>
                <w:rFonts w:eastAsia="仿宋_GB2312"/>
                <w:kern w:val="0"/>
                <w:sz w:val="18"/>
                <w:szCs w:val="18"/>
              </w:rPr>
              <w:t>《基本农田保护条例》第十七条  禁止任何单位和个人在基本农田保护区内建窑、建房、建坟、挖砂、采石、采矿、取土、堆放固体废弃物或者进行其他破坏基本农田的活动。</w:t>
            </w:r>
            <w:r>
              <w:rPr>
                <w:rFonts w:eastAsia="仿宋_GB2312"/>
                <w:kern w:val="0"/>
                <w:sz w:val="18"/>
                <w:szCs w:val="18"/>
              </w:rPr>
              <w:br w:type="textWrapping"/>
            </w:r>
            <w:r>
              <w:rPr>
                <w:rFonts w:eastAsia="仿宋_GB2312"/>
                <w:kern w:val="0"/>
                <w:sz w:val="18"/>
                <w:szCs w:val="18"/>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eastAsia="仿宋_GB2312"/>
                <w:kern w:val="0"/>
                <w:sz w:val="18"/>
                <w:szCs w:val="18"/>
              </w:rPr>
              <w:br w:type="textWrapping"/>
            </w:r>
            <w:r>
              <w:rPr>
                <w:rFonts w:eastAsia="仿宋_GB2312"/>
                <w:kern w:val="0"/>
                <w:sz w:val="18"/>
                <w:szCs w:val="18"/>
              </w:rPr>
              <w:t>《中华人民共和国土地管理法实施条例》第五十五条  依照《土地管理法》第七十五条的规定处以罚款的，罚款额为耕地开垦费的5倍以上10倍以下；破坏黑土地等优质耕地的，从重处罚。</w:t>
            </w:r>
            <w:r>
              <w:rPr>
                <w:rFonts w:eastAsia="仿宋_GB2312"/>
                <w:kern w:val="0"/>
                <w:sz w:val="18"/>
                <w:szCs w:val="18"/>
              </w:rPr>
              <w:br w:type="textWrapping"/>
            </w:r>
            <w:r>
              <w:rPr>
                <w:rFonts w:eastAsia="仿宋_GB2312"/>
                <w:kern w:val="0"/>
                <w:sz w:val="18"/>
                <w:szCs w:val="18"/>
              </w:rPr>
              <w:t>《基本农田保护条例》第三十三条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2591" w:type="dxa"/>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不满十四周岁的未成年人有违法行为的，不予行政处罚；2.精神病人、智力残疾人在不能辨认或者不能控制自己行为时有违法行为的，不予行政处罚；3.违法行为轻微并及时改正，没有造成危害后果的，不予行政处罚；4.当事人有证据足以证明没有主观过错的。</w:t>
            </w:r>
          </w:p>
        </w:tc>
        <w:tc>
          <w:tcPr>
            <w:tcW w:w="1445"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《行政处罚法》第三十条、第三十一条、三十三条、第十六条第一款</w:t>
            </w:r>
          </w:p>
        </w:tc>
        <w:tc>
          <w:tcPr>
            <w:tcW w:w="1843" w:type="dxa"/>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1.公示不予行政处罚结果并录入执法监管系统。2.加强日常巡查检查。3.及时查处举报事项。4.及时办理转办督办事项。</w:t>
            </w:r>
          </w:p>
        </w:tc>
        <w:tc>
          <w:tcPr>
            <w:tcW w:w="751" w:type="dxa"/>
            <w:shd w:val="clear" w:color="auto" w:fill="auto"/>
            <w:noWrap/>
            <w:vAlign w:val="center"/>
          </w:tcPr>
          <w:p>
            <w:pPr>
              <w:widowControl/>
              <w:spacing w:line="240" w:lineRule="exact"/>
              <w:rPr>
                <w:rFonts w:eastAsia="仿宋_GB2312"/>
                <w:kern w:val="0"/>
                <w:sz w:val="18"/>
                <w:szCs w:val="18"/>
              </w:rPr>
            </w:pPr>
          </w:p>
        </w:tc>
      </w:tr>
    </w:tbl>
    <w:p>
      <w:pPr>
        <w:adjustRightInd w:val="0"/>
        <w:snapToGrid w:val="0"/>
        <w:spacing w:line="560" w:lineRule="exact"/>
        <w:rPr>
          <w:rFonts w:eastAsia="黑体"/>
          <w:snapToGrid w:val="0"/>
          <w:kern w:val="0"/>
          <w:sz w:val="32"/>
          <w:szCs w:val="32"/>
        </w:rPr>
      </w:pPr>
      <w:r>
        <w:rPr>
          <w:rFonts w:eastAsia="黑体"/>
          <w:snapToGrid w:val="0"/>
          <w:kern w:val="0"/>
          <w:sz w:val="32"/>
          <w:szCs w:val="32"/>
        </w:rPr>
        <w:t>附件3</w:t>
      </w:r>
    </w:p>
    <w:p>
      <w:pPr>
        <w:adjustRightInd w:val="0"/>
        <w:snapToGrid w:val="0"/>
        <w:spacing w:line="560" w:lineRule="exact"/>
        <w:rPr>
          <w:rFonts w:eastAsia="仿宋_GB2312"/>
          <w:snapToGrid w:val="0"/>
          <w:kern w:val="0"/>
          <w:sz w:val="18"/>
          <w:szCs w:val="18"/>
        </w:rPr>
      </w:pPr>
    </w:p>
    <w:p>
      <w:pPr>
        <w:adjustRightInd w:val="0"/>
        <w:snapToGrid w:val="0"/>
        <w:spacing w:line="560" w:lineRule="exact"/>
        <w:jc w:val="center"/>
        <w:rPr>
          <w:rFonts w:eastAsia="方正小标宋简体"/>
          <w:snapToGrid w:val="0"/>
          <w:kern w:val="0"/>
          <w:sz w:val="44"/>
          <w:szCs w:val="44"/>
        </w:rPr>
      </w:pPr>
      <w:r>
        <w:rPr>
          <w:rFonts w:eastAsia="方正小标宋简体"/>
          <w:snapToGrid w:val="0"/>
          <w:kern w:val="0"/>
          <w:sz w:val="44"/>
          <w:szCs w:val="44"/>
        </w:rPr>
        <w:t>从轻行政处罚事项清单</w:t>
      </w:r>
      <w:r>
        <w:rPr>
          <w:rFonts w:hint="eastAsia" w:eastAsia="方正小标宋简体"/>
          <w:snapToGrid w:val="0"/>
          <w:kern w:val="0"/>
          <w:sz w:val="44"/>
          <w:szCs w:val="44"/>
          <w:lang w:eastAsia="zh-CN"/>
        </w:rPr>
        <w:t>（</w:t>
      </w:r>
      <w:r>
        <w:rPr>
          <w:rFonts w:hint="eastAsia" w:eastAsia="方正小标宋简体"/>
          <w:snapToGrid w:val="0"/>
          <w:kern w:val="0"/>
          <w:sz w:val="44"/>
          <w:szCs w:val="44"/>
          <w:lang w:val="en-US" w:eastAsia="zh-CN"/>
        </w:rPr>
        <w:t>自然资源和规划局</w:t>
      </w:r>
      <w:r>
        <w:rPr>
          <w:rFonts w:hint="eastAsia" w:eastAsia="方正小标宋简体"/>
          <w:snapToGrid w:val="0"/>
          <w:kern w:val="0"/>
          <w:sz w:val="44"/>
          <w:szCs w:val="44"/>
          <w:lang w:eastAsia="zh-CN"/>
        </w:rPr>
        <w:t>）</w:t>
      </w:r>
    </w:p>
    <w:p>
      <w:pPr>
        <w:adjustRightInd w:val="0"/>
        <w:snapToGrid w:val="0"/>
        <w:spacing w:line="560" w:lineRule="exact"/>
        <w:jc w:val="center"/>
        <w:rPr>
          <w:rFonts w:eastAsia="方正小标宋简体"/>
          <w:snapToGrid w:val="0"/>
          <w:kern w:val="0"/>
          <w:sz w:val="44"/>
          <w:szCs w:val="44"/>
        </w:rPr>
      </w:pPr>
    </w:p>
    <w:tbl>
      <w:tblPr>
        <w:tblStyle w:val="11"/>
        <w:tblW w:w="5135" w:type="pct"/>
        <w:jc w:val="center"/>
        <w:tblLayout w:type="fixed"/>
        <w:tblCellMar>
          <w:top w:w="0" w:type="dxa"/>
          <w:left w:w="108" w:type="dxa"/>
          <w:bottom w:w="0" w:type="dxa"/>
          <w:right w:w="108" w:type="dxa"/>
        </w:tblCellMar>
      </w:tblPr>
      <w:tblGrid>
        <w:gridCol w:w="649"/>
        <w:gridCol w:w="1009"/>
        <w:gridCol w:w="1135"/>
        <w:gridCol w:w="1378"/>
        <w:gridCol w:w="5018"/>
        <w:gridCol w:w="2718"/>
        <w:gridCol w:w="1350"/>
        <w:gridCol w:w="1265"/>
        <w:gridCol w:w="1246"/>
      </w:tblGrid>
      <w:tr>
        <w:tblPrEx>
          <w:tblCellMar>
            <w:top w:w="0" w:type="dxa"/>
            <w:left w:w="108" w:type="dxa"/>
            <w:bottom w:w="0" w:type="dxa"/>
            <w:right w:w="108" w:type="dxa"/>
          </w:tblCellMar>
        </w:tblPrEx>
        <w:trPr>
          <w:trHeight w:val="618" w:hRule="exac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序号</w:t>
            </w:r>
          </w:p>
        </w:tc>
        <w:tc>
          <w:tcPr>
            <w:tcW w:w="319"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管理</w:t>
            </w:r>
          </w:p>
          <w:p>
            <w:pPr>
              <w:widowControl/>
              <w:spacing w:line="240" w:lineRule="exact"/>
              <w:jc w:val="center"/>
              <w:rPr>
                <w:rFonts w:eastAsia="黑体"/>
                <w:kern w:val="0"/>
                <w:szCs w:val="21"/>
              </w:rPr>
            </w:pPr>
            <w:r>
              <w:rPr>
                <w:rFonts w:eastAsia="黑体"/>
                <w:kern w:val="0"/>
                <w:szCs w:val="21"/>
              </w:rPr>
              <w:t>领域</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主管</w:t>
            </w:r>
          </w:p>
          <w:p>
            <w:pPr>
              <w:widowControl/>
              <w:spacing w:line="240" w:lineRule="exact"/>
              <w:jc w:val="center"/>
              <w:rPr>
                <w:rFonts w:eastAsia="黑体"/>
                <w:kern w:val="0"/>
                <w:szCs w:val="21"/>
              </w:rPr>
            </w:pPr>
            <w:r>
              <w:rPr>
                <w:rFonts w:eastAsia="黑体"/>
                <w:kern w:val="0"/>
                <w:szCs w:val="21"/>
              </w:rPr>
              <w:t>部门</w:t>
            </w:r>
          </w:p>
        </w:tc>
        <w:tc>
          <w:tcPr>
            <w:tcW w:w="436"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违法事项</w:t>
            </w:r>
          </w:p>
        </w:tc>
        <w:tc>
          <w:tcPr>
            <w:tcW w:w="1590"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设定依据</w:t>
            </w:r>
          </w:p>
        </w:tc>
        <w:tc>
          <w:tcPr>
            <w:tcW w:w="861"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从轻行政处罚的情形</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从轻行政</w:t>
            </w:r>
          </w:p>
          <w:p>
            <w:pPr>
              <w:widowControl/>
              <w:spacing w:line="240" w:lineRule="exact"/>
              <w:jc w:val="center"/>
              <w:rPr>
                <w:rFonts w:eastAsia="黑体"/>
                <w:kern w:val="0"/>
                <w:szCs w:val="21"/>
              </w:rPr>
            </w:pPr>
            <w:r>
              <w:rPr>
                <w:rFonts w:eastAsia="黑体"/>
                <w:kern w:val="0"/>
                <w:szCs w:val="21"/>
              </w:rPr>
              <w:t>处罚的依据</w:t>
            </w:r>
          </w:p>
        </w:tc>
        <w:tc>
          <w:tcPr>
            <w:tcW w:w="401"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后续监管</w:t>
            </w:r>
          </w:p>
          <w:p>
            <w:pPr>
              <w:widowControl/>
              <w:spacing w:line="240" w:lineRule="exact"/>
              <w:jc w:val="center"/>
              <w:rPr>
                <w:rFonts w:eastAsia="黑体"/>
                <w:kern w:val="0"/>
                <w:szCs w:val="21"/>
              </w:rPr>
            </w:pPr>
            <w:r>
              <w:rPr>
                <w:rFonts w:eastAsia="黑体"/>
                <w:kern w:val="0"/>
                <w:szCs w:val="21"/>
              </w:rPr>
              <w:t>措施</w:t>
            </w:r>
          </w:p>
        </w:tc>
        <w:tc>
          <w:tcPr>
            <w:tcW w:w="395"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rFonts w:eastAsia="黑体"/>
                <w:kern w:val="0"/>
                <w:szCs w:val="21"/>
              </w:rPr>
            </w:pPr>
            <w:r>
              <w:rPr>
                <w:rFonts w:eastAsia="黑体"/>
                <w:kern w:val="0"/>
                <w:szCs w:val="21"/>
              </w:rPr>
              <w:t>备注</w:t>
            </w:r>
          </w:p>
        </w:tc>
      </w:tr>
      <w:tr>
        <w:tblPrEx>
          <w:tblCellMar>
            <w:top w:w="0" w:type="dxa"/>
            <w:left w:w="108" w:type="dxa"/>
            <w:bottom w:w="0" w:type="dxa"/>
            <w:right w:w="108" w:type="dxa"/>
          </w:tblCellMar>
        </w:tblPrEx>
        <w:trPr>
          <w:trHeight w:val="5580" w:hRule="atLeast"/>
          <w:jc w:val="center"/>
        </w:trPr>
        <w:tc>
          <w:tcPr>
            <w:tcW w:w="20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1</w:t>
            </w:r>
          </w:p>
        </w:tc>
        <w:tc>
          <w:tcPr>
            <w:tcW w:w="31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35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436"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未按照建设工程规划许可证的规定进行建设，属于尚可采取改正措施消除对规划实施影响的</w:t>
            </w:r>
          </w:p>
        </w:tc>
        <w:tc>
          <w:tcPr>
            <w:tcW w:w="1590"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86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主动消除或者减轻违法行为危害后果的；2.受他人胁迫或者诱骗实施违法行为的；3.主动供述行政机关尚未掌握的违法行为的；4.配合行政机关查处违法行为有立功表现的；5.已满十四周岁不满十八周岁的未成年人有违法行为的；6.尚未完全丧失辨认或者控制自己行为能力的精神病人、智力残疾人有违法行为的；7.法律、法规、规章规定其他应当从轻或者减轻行政处罚的。</w:t>
            </w:r>
          </w:p>
        </w:tc>
        <w:tc>
          <w:tcPr>
            <w:tcW w:w="428"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《中华人民共和国行政处罚法》第五条第二款、第三十条、第三十一条、第三十二条；《新疆维吾尔自治区规范自然资源行政处罚裁量权办法》第十条</w:t>
            </w:r>
          </w:p>
        </w:tc>
        <w:tc>
          <w:tcPr>
            <w:tcW w:w="40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1.公示（从轻）处罚结果并录入执法监管系统。2.加强日常巡查检查。3.及时查处举报事项。4.及时办理转办督办事项。</w:t>
            </w:r>
          </w:p>
        </w:tc>
        <w:tc>
          <w:tcPr>
            <w:tcW w:w="395"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p>
        </w:tc>
      </w:tr>
      <w:tr>
        <w:tblPrEx>
          <w:tblCellMar>
            <w:top w:w="0" w:type="dxa"/>
            <w:left w:w="108" w:type="dxa"/>
            <w:bottom w:w="0" w:type="dxa"/>
            <w:right w:w="108" w:type="dxa"/>
          </w:tblCellMar>
        </w:tblPrEx>
        <w:trPr>
          <w:trHeight w:val="4080" w:hRule="atLeast"/>
          <w:jc w:val="center"/>
        </w:trPr>
        <w:tc>
          <w:tcPr>
            <w:tcW w:w="20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2</w:t>
            </w:r>
          </w:p>
        </w:tc>
        <w:tc>
          <w:tcPr>
            <w:tcW w:w="31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35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436"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买卖或者以其他形式非法转让土地</w:t>
            </w:r>
          </w:p>
        </w:tc>
        <w:tc>
          <w:tcPr>
            <w:tcW w:w="1590"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《中华人民共和国土地管理法》第七十四条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tc>
        <w:tc>
          <w:tcPr>
            <w:tcW w:w="86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主动消除或者减轻违法行为危害后果的；2.受他人胁迫或者诱骗实施违法行为的；3.主动供述行政机关尚未掌握的违法行为的；4.配合行政机关查处违法行为有立功表现的；5.已满十四周岁不满十八周岁的未成年人有违法行为的；6.尚未完全丧失辨认或者控制自己行为能力的精神病人、智力残疾人有违法行为的；7.法律、法规、规章规定其他应当从轻或者减轻行政处罚的。</w:t>
            </w:r>
          </w:p>
        </w:tc>
        <w:tc>
          <w:tcPr>
            <w:tcW w:w="428"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《中华人民共和国行政处罚法》第五条第二款、第三十条、第三十一条、第三十二条；《新疆维吾尔自治区规范自然资源行政处罚裁量权办法》第十条</w:t>
            </w:r>
          </w:p>
        </w:tc>
        <w:tc>
          <w:tcPr>
            <w:tcW w:w="40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1.公示（从轻）处罚结果并录入执法监管系统。2.加强日常巡查检查。3.及时查处举报事项。4.及时办理转办督办事项。</w:t>
            </w:r>
          </w:p>
        </w:tc>
        <w:tc>
          <w:tcPr>
            <w:tcW w:w="395"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p>
        </w:tc>
      </w:tr>
      <w:tr>
        <w:tblPrEx>
          <w:tblCellMar>
            <w:top w:w="0" w:type="dxa"/>
            <w:left w:w="108" w:type="dxa"/>
            <w:bottom w:w="0" w:type="dxa"/>
            <w:right w:w="108" w:type="dxa"/>
          </w:tblCellMar>
        </w:tblPrEx>
        <w:trPr>
          <w:trHeight w:val="3780" w:hRule="atLeast"/>
          <w:jc w:val="center"/>
        </w:trPr>
        <w:tc>
          <w:tcPr>
            <w:tcW w:w="20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3</w:t>
            </w:r>
          </w:p>
        </w:tc>
        <w:tc>
          <w:tcPr>
            <w:tcW w:w="31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35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436"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违法占用耕地建窑、建坟或者擅自在耕地上建房、挖砂、采石、采矿、取土等，破坏种植条件，或者因开发土地造成土地荒漠化、盐渍化的</w:t>
            </w:r>
          </w:p>
        </w:tc>
        <w:tc>
          <w:tcPr>
            <w:tcW w:w="1590"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86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主动消除或者减轻违法行为危害后果的；2.受他人胁迫或者诱骗实施违法行为的；3.主动供述行政机关尚未掌握的违法行为的；4.配合行政机关查处违法行为有立功表现的；5.已满十四周岁不满十八周岁的未成年人有违法行为的；6.尚未完全丧失辨认或者控制自己行为能力的精神病人、智力残疾人有违法行为的；7.法律、法规、规章规定其他应当从轻或者减轻行政处罚的。</w:t>
            </w:r>
          </w:p>
        </w:tc>
        <w:tc>
          <w:tcPr>
            <w:tcW w:w="428"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《中华人民共和国行政处罚法》第五条第二款、第三十条、第三十一条、第三十二条；《新疆维吾尔自治区规范自然资源行政处罚裁量权办法》第十条</w:t>
            </w:r>
          </w:p>
        </w:tc>
        <w:tc>
          <w:tcPr>
            <w:tcW w:w="40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1.公示（从轻）处罚结果并录入执法监管系统。2.加强日常巡查检查。3.及时查处举报事项。4.及时办理转办督办事项。</w:t>
            </w:r>
          </w:p>
        </w:tc>
        <w:tc>
          <w:tcPr>
            <w:tcW w:w="395"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p>
        </w:tc>
      </w:tr>
      <w:tr>
        <w:tblPrEx>
          <w:tblCellMar>
            <w:top w:w="0" w:type="dxa"/>
            <w:left w:w="108" w:type="dxa"/>
            <w:bottom w:w="0" w:type="dxa"/>
            <w:right w:w="108" w:type="dxa"/>
          </w:tblCellMar>
        </w:tblPrEx>
        <w:trPr>
          <w:trHeight w:val="4189" w:hRule="atLeast"/>
          <w:jc w:val="center"/>
        </w:trPr>
        <w:tc>
          <w:tcPr>
            <w:tcW w:w="20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4</w:t>
            </w:r>
          </w:p>
        </w:tc>
        <w:tc>
          <w:tcPr>
            <w:tcW w:w="31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35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436"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拒不履行土地复垦义务</w:t>
            </w:r>
          </w:p>
        </w:tc>
        <w:tc>
          <w:tcPr>
            <w:tcW w:w="1590"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《中华人民共和国土地管理法》第七十六条  违反本法规定，拒不履行土地复垦义务的，由县级以上人民政府自然资源主管部门责令限期改正；逾期不改正的，责令缴纳复垦费，专项用于土地复垦，可以处以罚款。</w:t>
            </w:r>
            <w:r>
              <w:rPr>
                <w:rFonts w:eastAsia="仿宋_GB2312"/>
                <w:kern w:val="0"/>
                <w:sz w:val="18"/>
                <w:szCs w:val="18"/>
              </w:rPr>
              <w:br w:type="textWrapping"/>
            </w:r>
            <w:r>
              <w:rPr>
                <w:rFonts w:eastAsia="仿宋_GB2312"/>
                <w:kern w:val="0"/>
                <w:sz w:val="18"/>
                <w:szCs w:val="18"/>
              </w:rPr>
              <w:t>《中华人民共和国土地管理法实施条例》第五十六条第一款  依照《土地管理法》第七十六条的规定处以罚款的，罚款额为土地复垦费的2倍以上5倍以下。</w:t>
            </w:r>
          </w:p>
        </w:tc>
        <w:tc>
          <w:tcPr>
            <w:tcW w:w="86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主动消除或者减轻违法行为危害后果的；2.受他人胁迫或者诱骗实施违法行为的；3.主动供述行政机关尚未掌握的违法行为的；4.配合行政机关查处违法行为有立功表现的；5.已满十四周岁不满十八周岁的未成年人有违法行为的；6.尚未完全丧失辨认或者控制自己行为能力的精神病人、智力残疾人有违法行为的；7.法律、法规、规章规定其他应当从轻或者减轻行政处罚的。</w:t>
            </w:r>
          </w:p>
        </w:tc>
        <w:tc>
          <w:tcPr>
            <w:tcW w:w="428"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《中华人民共和国行政处罚法》第五条第二款、第三十条、第三十一条、第三十二条；《新疆维吾尔自治区规范自然资源行政处罚裁量权办法》第十条</w:t>
            </w:r>
          </w:p>
        </w:tc>
        <w:tc>
          <w:tcPr>
            <w:tcW w:w="40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1.公示（从轻）处罚结果并录入执法监管系统。2.加强日常巡查检查。3.及时查处举报事项。4.及时办理转办督办事项。</w:t>
            </w:r>
          </w:p>
        </w:tc>
        <w:tc>
          <w:tcPr>
            <w:tcW w:w="395"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p>
        </w:tc>
      </w:tr>
      <w:tr>
        <w:tblPrEx>
          <w:tblCellMar>
            <w:top w:w="0" w:type="dxa"/>
            <w:left w:w="108" w:type="dxa"/>
            <w:bottom w:w="0" w:type="dxa"/>
            <w:right w:w="108" w:type="dxa"/>
          </w:tblCellMar>
        </w:tblPrEx>
        <w:trPr>
          <w:trHeight w:val="3608" w:hRule="atLeast"/>
          <w:jc w:val="center"/>
        </w:trPr>
        <w:tc>
          <w:tcPr>
            <w:tcW w:w="20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hint="eastAsia" w:eastAsia="仿宋_GB2312"/>
                <w:kern w:val="0"/>
                <w:sz w:val="18"/>
                <w:szCs w:val="18"/>
                <w:lang w:eastAsia="zh-CN"/>
              </w:rPr>
            </w:pPr>
            <w:r>
              <w:rPr>
                <w:rFonts w:hint="eastAsia" w:eastAsia="仿宋_GB2312"/>
                <w:kern w:val="0"/>
                <w:sz w:val="18"/>
                <w:szCs w:val="18"/>
                <w:lang w:val="en-US" w:eastAsia="zh-CN"/>
              </w:rPr>
              <w:t>5</w:t>
            </w:r>
          </w:p>
        </w:tc>
        <w:tc>
          <w:tcPr>
            <w:tcW w:w="31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tc>
        <w:tc>
          <w:tcPr>
            <w:tcW w:w="359" w:type="pc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eastAsia="仿宋_GB2312"/>
                <w:kern w:val="0"/>
                <w:sz w:val="18"/>
                <w:szCs w:val="18"/>
              </w:rPr>
            </w:pPr>
            <w:r>
              <w:rPr>
                <w:rFonts w:eastAsia="仿宋_GB2312"/>
                <w:kern w:val="0"/>
                <w:sz w:val="18"/>
                <w:szCs w:val="18"/>
              </w:rPr>
              <w:t>自然资源</w:t>
            </w:r>
          </w:p>
          <w:p>
            <w:pPr>
              <w:widowControl/>
              <w:spacing w:line="240" w:lineRule="exact"/>
              <w:jc w:val="center"/>
              <w:rPr>
                <w:rFonts w:eastAsia="仿宋_GB2312"/>
                <w:kern w:val="0"/>
                <w:sz w:val="18"/>
                <w:szCs w:val="18"/>
              </w:rPr>
            </w:pPr>
            <w:r>
              <w:rPr>
                <w:rFonts w:eastAsia="仿宋_GB2312"/>
                <w:kern w:val="0"/>
                <w:sz w:val="18"/>
                <w:szCs w:val="18"/>
              </w:rPr>
              <w:t>和规划局</w:t>
            </w:r>
          </w:p>
        </w:tc>
        <w:tc>
          <w:tcPr>
            <w:tcW w:w="436"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在临时使用的土地上修建永久性建筑物</w:t>
            </w:r>
          </w:p>
        </w:tc>
        <w:tc>
          <w:tcPr>
            <w:tcW w:w="1590"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《中华人民共和国土地管理法</w:t>
            </w:r>
            <w:bookmarkStart w:id="0" w:name="_GoBack"/>
            <w:bookmarkEnd w:id="0"/>
            <w:r>
              <w:rPr>
                <w:rFonts w:eastAsia="仿宋_GB2312"/>
                <w:kern w:val="0"/>
                <w:sz w:val="18"/>
                <w:szCs w:val="18"/>
              </w:rPr>
              <w:t>》第五十七条第二款  临时使用土地的使用者应当按照临时使用土地合同约定的用途使用土地，并不得修建永久性建筑物。</w:t>
            </w:r>
            <w:r>
              <w:rPr>
                <w:rFonts w:eastAsia="仿宋_GB2312"/>
                <w:kern w:val="0"/>
                <w:sz w:val="18"/>
                <w:szCs w:val="18"/>
              </w:rPr>
              <w:br w:type="textWrapping"/>
            </w:r>
            <w:r>
              <w:rPr>
                <w:rFonts w:eastAsia="仿宋_GB2312"/>
                <w:kern w:val="0"/>
                <w:sz w:val="18"/>
                <w:szCs w:val="18"/>
              </w:rPr>
              <w:t>《中华人民共和国土地管理法实施条例》第五十二条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86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b/>
                <w:bCs/>
                <w:kern w:val="0"/>
                <w:sz w:val="18"/>
                <w:szCs w:val="18"/>
              </w:rPr>
              <w:t>有下列情形之一：</w:t>
            </w:r>
            <w:r>
              <w:rPr>
                <w:rFonts w:eastAsia="仿宋_GB2312"/>
                <w:kern w:val="0"/>
                <w:sz w:val="18"/>
                <w:szCs w:val="18"/>
              </w:rPr>
              <w:t>1.主动消除或者减轻违法行为危害后果的；2.受他人胁迫或者诱骗实施违法行为的；3.主动供述行政机关尚未掌握的违法行为的；4.配合行政机关查处违法行为有立功表现的；5.已满十四周岁不满十八周岁的未成年人有违法行为的；6.尚未完全丧失辨认或者控制自己行为能力的精神病人、智力残疾人有违法行为的；7.法律、法规、规章规定其他应当从轻或者减轻行政处罚的。</w:t>
            </w:r>
          </w:p>
        </w:tc>
        <w:tc>
          <w:tcPr>
            <w:tcW w:w="428"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《中华人民共和国行政处罚法》第五条第二款、第三十条、第三十一条、第三十二条；《新疆维吾尔自治区规范自然资源行政处罚裁量权办法》第十条</w:t>
            </w:r>
          </w:p>
        </w:tc>
        <w:tc>
          <w:tcPr>
            <w:tcW w:w="401"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r>
              <w:rPr>
                <w:rFonts w:eastAsia="仿宋_GB2312"/>
                <w:kern w:val="0"/>
                <w:sz w:val="18"/>
                <w:szCs w:val="18"/>
              </w:rPr>
              <w:t>1.公示（从轻）处罚结果并录入执法监管系统。2.加强日常巡查检查。3.及时查处举报事项。4.及时办理转办督办事项。</w:t>
            </w:r>
          </w:p>
        </w:tc>
        <w:tc>
          <w:tcPr>
            <w:tcW w:w="395" w:type="pct"/>
            <w:tcBorders>
              <w:top w:val="nil"/>
              <w:left w:val="nil"/>
              <w:bottom w:val="single" w:color="000000" w:sz="4" w:space="0"/>
              <w:right w:val="single" w:color="000000" w:sz="4" w:space="0"/>
            </w:tcBorders>
            <w:shd w:val="clear" w:color="auto" w:fill="auto"/>
            <w:noWrap/>
            <w:vAlign w:val="center"/>
          </w:tcPr>
          <w:p>
            <w:pPr>
              <w:widowControl/>
              <w:spacing w:line="240" w:lineRule="exact"/>
              <w:rPr>
                <w:rFonts w:eastAsia="仿宋_GB2312"/>
                <w:kern w:val="0"/>
                <w:sz w:val="18"/>
                <w:szCs w:val="18"/>
              </w:rPr>
            </w:pPr>
          </w:p>
        </w:tc>
      </w:tr>
    </w:tbl>
    <w:p>
      <w:pPr>
        <w:adjustRightInd w:val="0"/>
        <w:snapToGrid w:val="0"/>
        <w:ind w:firstLine="105" w:firstLineChars="50"/>
        <w:rPr>
          <w:rFonts w:eastAsia="仿宋_GB2312"/>
          <w:snapToGrid w:val="0"/>
          <w:kern w:val="0"/>
          <w:szCs w:val="21"/>
        </w:rPr>
      </w:pPr>
    </w:p>
    <w:sectPr>
      <w:footerReference r:id="rId3" w:type="default"/>
      <w:footerReference r:id="rId4" w:type="even"/>
      <w:pgSz w:w="16838" w:h="11907" w:orient="landscape"/>
      <w:pgMar w:top="1701" w:right="850" w:bottom="1417" w:left="85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9E35EDF-0595-455E-8FF2-A6B5770BC1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panose1 w:val="02020309000000000000"/>
    <w:charset w:val="88"/>
    <w:family w:val="moder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3A69F2C2-931A-43BE-AEF6-5E89C17CEF7A}"/>
  </w:font>
  <w:font w:name="Arial Unicode MS">
    <w:panose1 w:val="020B0604020202020204"/>
    <w:charset w:val="86"/>
    <w:family w:val="swiss"/>
    <w:pitch w:val="default"/>
    <w:sig w:usb0="FFFFFFFF" w:usb1="E9FFFFFF" w:usb2="0000003F" w:usb3="00000000" w:csb0="603F01FF" w:csb1="FFFF0000"/>
    <w:embedRegular r:id="rId3" w:fontKey="{691EA9CE-CC0B-46E0-BFFD-7A9116437992}"/>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483</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480</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NGY4NWUyNjI2MTBiYzliOWVjYjIzZWIxNzBiYzIifQ=="/>
  </w:docVars>
  <w:rsids>
    <w:rsidRoot w:val="000D7D26"/>
    <w:rsid w:val="00001652"/>
    <w:rsid w:val="00002DFA"/>
    <w:rsid w:val="00003601"/>
    <w:rsid w:val="000068FC"/>
    <w:rsid w:val="000071F4"/>
    <w:rsid w:val="00011460"/>
    <w:rsid w:val="000127AA"/>
    <w:rsid w:val="00014D2C"/>
    <w:rsid w:val="00015040"/>
    <w:rsid w:val="00015B77"/>
    <w:rsid w:val="0002276D"/>
    <w:rsid w:val="00023257"/>
    <w:rsid w:val="00025E44"/>
    <w:rsid w:val="00032187"/>
    <w:rsid w:val="000403A3"/>
    <w:rsid w:val="00040C68"/>
    <w:rsid w:val="00041A1A"/>
    <w:rsid w:val="00044549"/>
    <w:rsid w:val="0004672E"/>
    <w:rsid w:val="00060377"/>
    <w:rsid w:val="00061F01"/>
    <w:rsid w:val="0006494D"/>
    <w:rsid w:val="00066D7F"/>
    <w:rsid w:val="0007381E"/>
    <w:rsid w:val="0007526E"/>
    <w:rsid w:val="000753EE"/>
    <w:rsid w:val="00081E96"/>
    <w:rsid w:val="000833AB"/>
    <w:rsid w:val="00084252"/>
    <w:rsid w:val="00084A01"/>
    <w:rsid w:val="0009197E"/>
    <w:rsid w:val="000A37E6"/>
    <w:rsid w:val="000A5A4F"/>
    <w:rsid w:val="000A7817"/>
    <w:rsid w:val="000A7A44"/>
    <w:rsid w:val="000B0DE9"/>
    <w:rsid w:val="000B3488"/>
    <w:rsid w:val="000B5031"/>
    <w:rsid w:val="000B6587"/>
    <w:rsid w:val="000B74B2"/>
    <w:rsid w:val="000C0D9D"/>
    <w:rsid w:val="000C3C90"/>
    <w:rsid w:val="000D2282"/>
    <w:rsid w:val="000D4539"/>
    <w:rsid w:val="000D7D26"/>
    <w:rsid w:val="000E1239"/>
    <w:rsid w:val="000E1FBC"/>
    <w:rsid w:val="000E67FB"/>
    <w:rsid w:val="000E7145"/>
    <w:rsid w:val="000F51DC"/>
    <w:rsid w:val="00101CA7"/>
    <w:rsid w:val="001046D7"/>
    <w:rsid w:val="00105BEC"/>
    <w:rsid w:val="00107BD5"/>
    <w:rsid w:val="00107D64"/>
    <w:rsid w:val="001129C8"/>
    <w:rsid w:val="0011526A"/>
    <w:rsid w:val="001166E0"/>
    <w:rsid w:val="00116FDD"/>
    <w:rsid w:val="00122267"/>
    <w:rsid w:val="00123CA1"/>
    <w:rsid w:val="001258F6"/>
    <w:rsid w:val="0013362C"/>
    <w:rsid w:val="001378E5"/>
    <w:rsid w:val="00146615"/>
    <w:rsid w:val="00152020"/>
    <w:rsid w:val="00155D19"/>
    <w:rsid w:val="0015696C"/>
    <w:rsid w:val="001573AD"/>
    <w:rsid w:val="00157BD9"/>
    <w:rsid w:val="00160180"/>
    <w:rsid w:val="00160828"/>
    <w:rsid w:val="001617B2"/>
    <w:rsid w:val="0016199B"/>
    <w:rsid w:val="00161E51"/>
    <w:rsid w:val="00162065"/>
    <w:rsid w:val="00165380"/>
    <w:rsid w:val="00166BAA"/>
    <w:rsid w:val="00171892"/>
    <w:rsid w:val="00172529"/>
    <w:rsid w:val="00174104"/>
    <w:rsid w:val="001748AF"/>
    <w:rsid w:val="00174ECB"/>
    <w:rsid w:val="001775D8"/>
    <w:rsid w:val="001832C8"/>
    <w:rsid w:val="001859F9"/>
    <w:rsid w:val="0018686A"/>
    <w:rsid w:val="001874FD"/>
    <w:rsid w:val="00190128"/>
    <w:rsid w:val="001925C8"/>
    <w:rsid w:val="00192D6C"/>
    <w:rsid w:val="001935E2"/>
    <w:rsid w:val="0019446F"/>
    <w:rsid w:val="001960B7"/>
    <w:rsid w:val="001A32E1"/>
    <w:rsid w:val="001A669E"/>
    <w:rsid w:val="001B21E1"/>
    <w:rsid w:val="001B74C0"/>
    <w:rsid w:val="001C1220"/>
    <w:rsid w:val="001C2020"/>
    <w:rsid w:val="001C23CD"/>
    <w:rsid w:val="001C3277"/>
    <w:rsid w:val="001C3CA8"/>
    <w:rsid w:val="001C4D52"/>
    <w:rsid w:val="001C4D8C"/>
    <w:rsid w:val="001C662F"/>
    <w:rsid w:val="001C6B4A"/>
    <w:rsid w:val="001C73CD"/>
    <w:rsid w:val="001D1102"/>
    <w:rsid w:val="001D3169"/>
    <w:rsid w:val="001D6667"/>
    <w:rsid w:val="001D6E13"/>
    <w:rsid w:val="001D7B56"/>
    <w:rsid w:val="001E2A3B"/>
    <w:rsid w:val="001E3360"/>
    <w:rsid w:val="001E3612"/>
    <w:rsid w:val="001E6779"/>
    <w:rsid w:val="001F131A"/>
    <w:rsid w:val="001F57E3"/>
    <w:rsid w:val="0020204B"/>
    <w:rsid w:val="00202A94"/>
    <w:rsid w:val="00203818"/>
    <w:rsid w:val="00207FB0"/>
    <w:rsid w:val="00210044"/>
    <w:rsid w:val="002130A5"/>
    <w:rsid w:val="002131AD"/>
    <w:rsid w:val="0021373F"/>
    <w:rsid w:val="002177BD"/>
    <w:rsid w:val="00220C66"/>
    <w:rsid w:val="00222076"/>
    <w:rsid w:val="00223A56"/>
    <w:rsid w:val="00223EB5"/>
    <w:rsid w:val="00227479"/>
    <w:rsid w:val="002308B7"/>
    <w:rsid w:val="00230B47"/>
    <w:rsid w:val="0024029D"/>
    <w:rsid w:val="00241682"/>
    <w:rsid w:val="00242F78"/>
    <w:rsid w:val="002448F1"/>
    <w:rsid w:val="0025298D"/>
    <w:rsid w:val="00253BE5"/>
    <w:rsid w:val="0025660A"/>
    <w:rsid w:val="00261F5A"/>
    <w:rsid w:val="0027110C"/>
    <w:rsid w:val="00280772"/>
    <w:rsid w:val="00281D08"/>
    <w:rsid w:val="00286272"/>
    <w:rsid w:val="0029182C"/>
    <w:rsid w:val="0029277C"/>
    <w:rsid w:val="00294153"/>
    <w:rsid w:val="00296793"/>
    <w:rsid w:val="002A0F7D"/>
    <w:rsid w:val="002A143E"/>
    <w:rsid w:val="002A2C98"/>
    <w:rsid w:val="002A4DE1"/>
    <w:rsid w:val="002A5C60"/>
    <w:rsid w:val="002B0EF8"/>
    <w:rsid w:val="002B3625"/>
    <w:rsid w:val="002C6BD6"/>
    <w:rsid w:val="002C7073"/>
    <w:rsid w:val="002D1204"/>
    <w:rsid w:val="002D3B3D"/>
    <w:rsid w:val="002D481D"/>
    <w:rsid w:val="002E1178"/>
    <w:rsid w:val="002E263F"/>
    <w:rsid w:val="002E37E4"/>
    <w:rsid w:val="002E6722"/>
    <w:rsid w:val="002F274E"/>
    <w:rsid w:val="002F45D5"/>
    <w:rsid w:val="002F4B78"/>
    <w:rsid w:val="002F7CAF"/>
    <w:rsid w:val="00300F55"/>
    <w:rsid w:val="0030335A"/>
    <w:rsid w:val="00303F34"/>
    <w:rsid w:val="00305FC4"/>
    <w:rsid w:val="00310141"/>
    <w:rsid w:val="003132FC"/>
    <w:rsid w:val="00313FA2"/>
    <w:rsid w:val="003172FD"/>
    <w:rsid w:val="003252CE"/>
    <w:rsid w:val="00325501"/>
    <w:rsid w:val="003263E2"/>
    <w:rsid w:val="00331F32"/>
    <w:rsid w:val="00332DCE"/>
    <w:rsid w:val="003337A3"/>
    <w:rsid w:val="003356CC"/>
    <w:rsid w:val="00337361"/>
    <w:rsid w:val="00337870"/>
    <w:rsid w:val="003447E5"/>
    <w:rsid w:val="00350A5C"/>
    <w:rsid w:val="00357CCD"/>
    <w:rsid w:val="0036167E"/>
    <w:rsid w:val="00361BBE"/>
    <w:rsid w:val="00366F66"/>
    <w:rsid w:val="0037387A"/>
    <w:rsid w:val="00374F23"/>
    <w:rsid w:val="00377A9D"/>
    <w:rsid w:val="00380BBE"/>
    <w:rsid w:val="0038468B"/>
    <w:rsid w:val="0038739A"/>
    <w:rsid w:val="003874CF"/>
    <w:rsid w:val="003926F7"/>
    <w:rsid w:val="00392B1F"/>
    <w:rsid w:val="00393546"/>
    <w:rsid w:val="00393A60"/>
    <w:rsid w:val="00395B0C"/>
    <w:rsid w:val="00396B9E"/>
    <w:rsid w:val="003A2B67"/>
    <w:rsid w:val="003A4812"/>
    <w:rsid w:val="003A4CB8"/>
    <w:rsid w:val="003B2069"/>
    <w:rsid w:val="003C0ACB"/>
    <w:rsid w:val="003C3457"/>
    <w:rsid w:val="003C4DA9"/>
    <w:rsid w:val="003C590F"/>
    <w:rsid w:val="003C7C26"/>
    <w:rsid w:val="003D0926"/>
    <w:rsid w:val="003D148D"/>
    <w:rsid w:val="003D2CBE"/>
    <w:rsid w:val="003E0A14"/>
    <w:rsid w:val="003E6830"/>
    <w:rsid w:val="003E6C3D"/>
    <w:rsid w:val="003E70D2"/>
    <w:rsid w:val="003E731B"/>
    <w:rsid w:val="003E7CFC"/>
    <w:rsid w:val="003F021A"/>
    <w:rsid w:val="003F18C9"/>
    <w:rsid w:val="003F1EF4"/>
    <w:rsid w:val="003F1F7E"/>
    <w:rsid w:val="003F2E42"/>
    <w:rsid w:val="003F3B59"/>
    <w:rsid w:val="003F7934"/>
    <w:rsid w:val="00400B74"/>
    <w:rsid w:val="00404E63"/>
    <w:rsid w:val="00406B39"/>
    <w:rsid w:val="00406CE8"/>
    <w:rsid w:val="004131EA"/>
    <w:rsid w:val="0041360D"/>
    <w:rsid w:val="004169E3"/>
    <w:rsid w:val="00422B0E"/>
    <w:rsid w:val="004245C5"/>
    <w:rsid w:val="004254CD"/>
    <w:rsid w:val="004276A5"/>
    <w:rsid w:val="004325B0"/>
    <w:rsid w:val="004325F4"/>
    <w:rsid w:val="00436523"/>
    <w:rsid w:val="00437A2E"/>
    <w:rsid w:val="00437C20"/>
    <w:rsid w:val="004411C3"/>
    <w:rsid w:val="004414D2"/>
    <w:rsid w:val="00447835"/>
    <w:rsid w:val="00447D79"/>
    <w:rsid w:val="00456AB7"/>
    <w:rsid w:val="00462C75"/>
    <w:rsid w:val="00463789"/>
    <w:rsid w:val="004661F1"/>
    <w:rsid w:val="00467A72"/>
    <w:rsid w:val="00470D4B"/>
    <w:rsid w:val="00473998"/>
    <w:rsid w:val="00473B2C"/>
    <w:rsid w:val="00473E39"/>
    <w:rsid w:val="0047533D"/>
    <w:rsid w:val="00477365"/>
    <w:rsid w:val="004823C2"/>
    <w:rsid w:val="00482A69"/>
    <w:rsid w:val="00486135"/>
    <w:rsid w:val="00486C7F"/>
    <w:rsid w:val="00491393"/>
    <w:rsid w:val="004919F7"/>
    <w:rsid w:val="00493786"/>
    <w:rsid w:val="004964E0"/>
    <w:rsid w:val="00496562"/>
    <w:rsid w:val="00497378"/>
    <w:rsid w:val="004A115E"/>
    <w:rsid w:val="004A1737"/>
    <w:rsid w:val="004B010E"/>
    <w:rsid w:val="004B14A4"/>
    <w:rsid w:val="004B2479"/>
    <w:rsid w:val="004B4D7B"/>
    <w:rsid w:val="004C27AD"/>
    <w:rsid w:val="004C4614"/>
    <w:rsid w:val="004C4D0F"/>
    <w:rsid w:val="004C7041"/>
    <w:rsid w:val="004D540D"/>
    <w:rsid w:val="004E348E"/>
    <w:rsid w:val="004E768E"/>
    <w:rsid w:val="004F6F6A"/>
    <w:rsid w:val="004F7D74"/>
    <w:rsid w:val="004F7E7F"/>
    <w:rsid w:val="00501814"/>
    <w:rsid w:val="00501DA3"/>
    <w:rsid w:val="005061C7"/>
    <w:rsid w:val="005063A7"/>
    <w:rsid w:val="00506958"/>
    <w:rsid w:val="00506B8C"/>
    <w:rsid w:val="00511804"/>
    <w:rsid w:val="00517FB5"/>
    <w:rsid w:val="005226EE"/>
    <w:rsid w:val="00527B20"/>
    <w:rsid w:val="00530CBA"/>
    <w:rsid w:val="0053345A"/>
    <w:rsid w:val="00536253"/>
    <w:rsid w:val="00541738"/>
    <w:rsid w:val="00552D48"/>
    <w:rsid w:val="0055499D"/>
    <w:rsid w:val="00561648"/>
    <w:rsid w:val="00562E4D"/>
    <w:rsid w:val="00563AC1"/>
    <w:rsid w:val="005655BE"/>
    <w:rsid w:val="00565EE9"/>
    <w:rsid w:val="00566824"/>
    <w:rsid w:val="00571A0A"/>
    <w:rsid w:val="00572037"/>
    <w:rsid w:val="00573210"/>
    <w:rsid w:val="005759FC"/>
    <w:rsid w:val="00577276"/>
    <w:rsid w:val="005812DB"/>
    <w:rsid w:val="0058437B"/>
    <w:rsid w:val="00586FEC"/>
    <w:rsid w:val="005870C9"/>
    <w:rsid w:val="005A017E"/>
    <w:rsid w:val="005A1045"/>
    <w:rsid w:val="005A494B"/>
    <w:rsid w:val="005A5255"/>
    <w:rsid w:val="005B1B55"/>
    <w:rsid w:val="005C007D"/>
    <w:rsid w:val="005C1B59"/>
    <w:rsid w:val="005C2D03"/>
    <w:rsid w:val="005C340E"/>
    <w:rsid w:val="005C3AA9"/>
    <w:rsid w:val="005C7FB0"/>
    <w:rsid w:val="005D02E6"/>
    <w:rsid w:val="005D758E"/>
    <w:rsid w:val="005E2C09"/>
    <w:rsid w:val="005E636B"/>
    <w:rsid w:val="005E6E4D"/>
    <w:rsid w:val="005F037B"/>
    <w:rsid w:val="005F34FA"/>
    <w:rsid w:val="005F5B1E"/>
    <w:rsid w:val="005F6C51"/>
    <w:rsid w:val="00600C59"/>
    <w:rsid w:val="00601542"/>
    <w:rsid w:val="00603790"/>
    <w:rsid w:val="00606F54"/>
    <w:rsid w:val="0060785A"/>
    <w:rsid w:val="00612530"/>
    <w:rsid w:val="006136EE"/>
    <w:rsid w:val="00622F61"/>
    <w:rsid w:val="0062551B"/>
    <w:rsid w:val="0063505C"/>
    <w:rsid w:val="00635C07"/>
    <w:rsid w:val="006360B4"/>
    <w:rsid w:val="00640246"/>
    <w:rsid w:val="00640546"/>
    <w:rsid w:val="006425CD"/>
    <w:rsid w:val="00642959"/>
    <w:rsid w:val="00643760"/>
    <w:rsid w:val="006443E9"/>
    <w:rsid w:val="00644909"/>
    <w:rsid w:val="006475AD"/>
    <w:rsid w:val="00650366"/>
    <w:rsid w:val="00652727"/>
    <w:rsid w:val="00654A6B"/>
    <w:rsid w:val="00655A3D"/>
    <w:rsid w:val="006570BE"/>
    <w:rsid w:val="00660EE7"/>
    <w:rsid w:val="00662F70"/>
    <w:rsid w:val="00663275"/>
    <w:rsid w:val="006634D4"/>
    <w:rsid w:val="00665612"/>
    <w:rsid w:val="00665CED"/>
    <w:rsid w:val="0066730E"/>
    <w:rsid w:val="0067074F"/>
    <w:rsid w:val="00670787"/>
    <w:rsid w:val="00674A0A"/>
    <w:rsid w:val="00675831"/>
    <w:rsid w:val="00675EBD"/>
    <w:rsid w:val="00677360"/>
    <w:rsid w:val="0068050B"/>
    <w:rsid w:val="006815BE"/>
    <w:rsid w:val="0068348B"/>
    <w:rsid w:val="00683FB6"/>
    <w:rsid w:val="0068531D"/>
    <w:rsid w:val="00692DC1"/>
    <w:rsid w:val="006A163F"/>
    <w:rsid w:val="006A1649"/>
    <w:rsid w:val="006A4EA9"/>
    <w:rsid w:val="006A5DAA"/>
    <w:rsid w:val="006A75C9"/>
    <w:rsid w:val="006B1E70"/>
    <w:rsid w:val="006C2DBC"/>
    <w:rsid w:val="006C35F5"/>
    <w:rsid w:val="006C381F"/>
    <w:rsid w:val="006C3BE4"/>
    <w:rsid w:val="006C3FFE"/>
    <w:rsid w:val="006C48D4"/>
    <w:rsid w:val="006C66B0"/>
    <w:rsid w:val="006D5B6C"/>
    <w:rsid w:val="006E0F38"/>
    <w:rsid w:val="006E21D2"/>
    <w:rsid w:val="006E5EB1"/>
    <w:rsid w:val="006E7225"/>
    <w:rsid w:val="006F0323"/>
    <w:rsid w:val="006F0481"/>
    <w:rsid w:val="006F2F49"/>
    <w:rsid w:val="006F399E"/>
    <w:rsid w:val="006F3C74"/>
    <w:rsid w:val="006F3E96"/>
    <w:rsid w:val="006F761A"/>
    <w:rsid w:val="00701A02"/>
    <w:rsid w:val="00701A51"/>
    <w:rsid w:val="00701B9A"/>
    <w:rsid w:val="0070235A"/>
    <w:rsid w:val="00703218"/>
    <w:rsid w:val="007036A7"/>
    <w:rsid w:val="007036B9"/>
    <w:rsid w:val="00703BC1"/>
    <w:rsid w:val="00704336"/>
    <w:rsid w:val="00711B99"/>
    <w:rsid w:val="00713A24"/>
    <w:rsid w:val="007142C2"/>
    <w:rsid w:val="0071540F"/>
    <w:rsid w:val="00716B50"/>
    <w:rsid w:val="007226FC"/>
    <w:rsid w:val="00727F8C"/>
    <w:rsid w:val="0073147D"/>
    <w:rsid w:val="00731E6A"/>
    <w:rsid w:val="00733FE1"/>
    <w:rsid w:val="0073413D"/>
    <w:rsid w:val="00734ED9"/>
    <w:rsid w:val="00740568"/>
    <w:rsid w:val="0074168E"/>
    <w:rsid w:val="00742588"/>
    <w:rsid w:val="007437C9"/>
    <w:rsid w:val="007445D1"/>
    <w:rsid w:val="00744B6A"/>
    <w:rsid w:val="007472EF"/>
    <w:rsid w:val="0075578B"/>
    <w:rsid w:val="00760350"/>
    <w:rsid w:val="007642E7"/>
    <w:rsid w:val="007643A1"/>
    <w:rsid w:val="007677BD"/>
    <w:rsid w:val="00770B0A"/>
    <w:rsid w:val="00770F13"/>
    <w:rsid w:val="00780884"/>
    <w:rsid w:val="00784A64"/>
    <w:rsid w:val="0078779B"/>
    <w:rsid w:val="00791996"/>
    <w:rsid w:val="0079411A"/>
    <w:rsid w:val="00795B91"/>
    <w:rsid w:val="007A06B0"/>
    <w:rsid w:val="007A08B0"/>
    <w:rsid w:val="007A2F4D"/>
    <w:rsid w:val="007A648C"/>
    <w:rsid w:val="007A794C"/>
    <w:rsid w:val="007C0EEB"/>
    <w:rsid w:val="007C64AB"/>
    <w:rsid w:val="007D0A57"/>
    <w:rsid w:val="007D10AE"/>
    <w:rsid w:val="007D26B9"/>
    <w:rsid w:val="007D37FF"/>
    <w:rsid w:val="007D4128"/>
    <w:rsid w:val="007D4374"/>
    <w:rsid w:val="007D4D44"/>
    <w:rsid w:val="007D7AEA"/>
    <w:rsid w:val="007E22C2"/>
    <w:rsid w:val="007E2FA0"/>
    <w:rsid w:val="007E34D3"/>
    <w:rsid w:val="007E73F6"/>
    <w:rsid w:val="007F26CE"/>
    <w:rsid w:val="007F2DFB"/>
    <w:rsid w:val="007F384F"/>
    <w:rsid w:val="007F4E2C"/>
    <w:rsid w:val="007F51CD"/>
    <w:rsid w:val="007F6982"/>
    <w:rsid w:val="00801AEE"/>
    <w:rsid w:val="00802B20"/>
    <w:rsid w:val="00805667"/>
    <w:rsid w:val="00805A64"/>
    <w:rsid w:val="00811895"/>
    <w:rsid w:val="0081226B"/>
    <w:rsid w:val="00812724"/>
    <w:rsid w:val="008159D4"/>
    <w:rsid w:val="00822B8D"/>
    <w:rsid w:val="00830EC7"/>
    <w:rsid w:val="00832551"/>
    <w:rsid w:val="00833A53"/>
    <w:rsid w:val="00833FE8"/>
    <w:rsid w:val="00835CD6"/>
    <w:rsid w:val="00840D48"/>
    <w:rsid w:val="00842DF2"/>
    <w:rsid w:val="00855C2A"/>
    <w:rsid w:val="008566BA"/>
    <w:rsid w:val="00870047"/>
    <w:rsid w:val="0087167F"/>
    <w:rsid w:val="00872961"/>
    <w:rsid w:val="00874337"/>
    <w:rsid w:val="008748E6"/>
    <w:rsid w:val="00875634"/>
    <w:rsid w:val="00877324"/>
    <w:rsid w:val="008857BD"/>
    <w:rsid w:val="00890E62"/>
    <w:rsid w:val="008914AE"/>
    <w:rsid w:val="008930CF"/>
    <w:rsid w:val="00894A86"/>
    <w:rsid w:val="008A0558"/>
    <w:rsid w:val="008A08EB"/>
    <w:rsid w:val="008A1100"/>
    <w:rsid w:val="008A4A00"/>
    <w:rsid w:val="008B5810"/>
    <w:rsid w:val="008B5F17"/>
    <w:rsid w:val="008C7E03"/>
    <w:rsid w:val="008D2DE0"/>
    <w:rsid w:val="008D41F8"/>
    <w:rsid w:val="008D5532"/>
    <w:rsid w:val="008E15DE"/>
    <w:rsid w:val="008E1849"/>
    <w:rsid w:val="008E1B57"/>
    <w:rsid w:val="008E708B"/>
    <w:rsid w:val="008E78DB"/>
    <w:rsid w:val="009014A6"/>
    <w:rsid w:val="00901D6F"/>
    <w:rsid w:val="009047F7"/>
    <w:rsid w:val="00905332"/>
    <w:rsid w:val="00905FDD"/>
    <w:rsid w:val="009072C5"/>
    <w:rsid w:val="00913155"/>
    <w:rsid w:val="00915500"/>
    <w:rsid w:val="00915BA1"/>
    <w:rsid w:val="00917479"/>
    <w:rsid w:val="00917970"/>
    <w:rsid w:val="00922A97"/>
    <w:rsid w:val="009238CE"/>
    <w:rsid w:val="00926627"/>
    <w:rsid w:val="00926720"/>
    <w:rsid w:val="00927E49"/>
    <w:rsid w:val="00930BBF"/>
    <w:rsid w:val="00935520"/>
    <w:rsid w:val="009405D5"/>
    <w:rsid w:val="0094127C"/>
    <w:rsid w:val="00944307"/>
    <w:rsid w:val="00946099"/>
    <w:rsid w:val="00947F8D"/>
    <w:rsid w:val="00950F8F"/>
    <w:rsid w:val="00951948"/>
    <w:rsid w:val="00951DB9"/>
    <w:rsid w:val="00952861"/>
    <w:rsid w:val="0095366F"/>
    <w:rsid w:val="009541F9"/>
    <w:rsid w:val="009555D2"/>
    <w:rsid w:val="00955F63"/>
    <w:rsid w:val="00956079"/>
    <w:rsid w:val="009579E3"/>
    <w:rsid w:val="00960F66"/>
    <w:rsid w:val="00961028"/>
    <w:rsid w:val="00962C48"/>
    <w:rsid w:val="00966B76"/>
    <w:rsid w:val="00966DBE"/>
    <w:rsid w:val="0096739E"/>
    <w:rsid w:val="00976BD8"/>
    <w:rsid w:val="009801E7"/>
    <w:rsid w:val="0098083A"/>
    <w:rsid w:val="00984454"/>
    <w:rsid w:val="009846A6"/>
    <w:rsid w:val="0098477B"/>
    <w:rsid w:val="00984E7D"/>
    <w:rsid w:val="00990C9D"/>
    <w:rsid w:val="00995BB5"/>
    <w:rsid w:val="009A2F37"/>
    <w:rsid w:val="009A42E1"/>
    <w:rsid w:val="009B3A2D"/>
    <w:rsid w:val="009B4A72"/>
    <w:rsid w:val="009B51F6"/>
    <w:rsid w:val="009B5F27"/>
    <w:rsid w:val="009C79B2"/>
    <w:rsid w:val="009D291C"/>
    <w:rsid w:val="009D5696"/>
    <w:rsid w:val="009D6A72"/>
    <w:rsid w:val="009D6DC3"/>
    <w:rsid w:val="009E1804"/>
    <w:rsid w:val="009E1D6F"/>
    <w:rsid w:val="009E6E25"/>
    <w:rsid w:val="009F0008"/>
    <w:rsid w:val="00A0169B"/>
    <w:rsid w:val="00A043D2"/>
    <w:rsid w:val="00A061CC"/>
    <w:rsid w:val="00A11272"/>
    <w:rsid w:val="00A117AF"/>
    <w:rsid w:val="00A14474"/>
    <w:rsid w:val="00A14CAE"/>
    <w:rsid w:val="00A15E3E"/>
    <w:rsid w:val="00A173B7"/>
    <w:rsid w:val="00A23FF4"/>
    <w:rsid w:val="00A276E8"/>
    <w:rsid w:val="00A37A7E"/>
    <w:rsid w:val="00A41B99"/>
    <w:rsid w:val="00A46F91"/>
    <w:rsid w:val="00A5239C"/>
    <w:rsid w:val="00A53B23"/>
    <w:rsid w:val="00A61347"/>
    <w:rsid w:val="00A63E52"/>
    <w:rsid w:val="00A65FA9"/>
    <w:rsid w:val="00A6720F"/>
    <w:rsid w:val="00A67B97"/>
    <w:rsid w:val="00A71643"/>
    <w:rsid w:val="00A71894"/>
    <w:rsid w:val="00A71EA7"/>
    <w:rsid w:val="00A77491"/>
    <w:rsid w:val="00A802C5"/>
    <w:rsid w:val="00A8032C"/>
    <w:rsid w:val="00A80CEC"/>
    <w:rsid w:val="00A81A6F"/>
    <w:rsid w:val="00A821B4"/>
    <w:rsid w:val="00A83D0C"/>
    <w:rsid w:val="00A86477"/>
    <w:rsid w:val="00A8737D"/>
    <w:rsid w:val="00A873CD"/>
    <w:rsid w:val="00A87D86"/>
    <w:rsid w:val="00A924A8"/>
    <w:rsid w:val="00A96511"/>
    <w:rsid w:val="00AA1221"/>
    <w:rsid w:val="00AA3038"/>
    <w:rsid w:val="00AA3CB2"/>
    <w:rsid w:val="00AA53DC"/>
    <w:rsid w:val="00AA595A"/>
    <w:rsid w:val="00AA60CA"/>
    <w:rsid w:val="00AB1BCD"/>
    <w:rsid w:val="00AB6E71"/>
    <w:rsid w:val="00AC0A7D"/>
    <w:rsid w:val="00AC3ABF"/>
    <w:rsid w:val="00AC4790"/>
    <w:rsid w:val="00AC487C"/>
    <w:rsid w:val="00AC5301"/>
    <w:rsid w:val="00AC5C63"/>
    <w:rsid w:val="00AC6E9D"/>
    <w:rsid w:val="00AC71F5"/>
    <w:rsid w:val="00AD5543"/>
    <w:rsid w:val="00AE0B58"/>
    <w:rsid w:val="00AE19DE"/>
    <w:rsid w:val="00AE318A"/>
    <w:rsid w:val="00AE4230"/>
    <w:rsid w:val="00AE7758"/>
    <w:rsid w:val="00AF0C43"/>
    <w:rsid w:val="00AF25CA"/>
    <w:rsid w:val="00AF2ED1"/>
    <w:rsid w:val="00AF3020"/>
    <w:rsid w:val="00AF66E3"/>
    <w:rsid w:val="00B01C2F"/>
    <w:rsid w:val="00B11EDF"/>
    <w:rsid w:val="00B1275A"/>
    <w:rsid w:val="00B13A37"/>
    <w:rsid w:val="00B1546B"/>
    <w:rsid w:val="00B22BA0"/>
    <w:rsid w:val="00B24376"/>
    <w:rsid w:val="00B2589A"/>
    <w:rsid w:val="00B25AD0"/>
    <w:rsid w:val="00B30209"/>
    <w:rsid w:val="00B31639"/>
    <w:rsid w:val="00B37AB1"/>
    <w:rsid w:val="00B37AB3"/>
    <w:rsid w:val="00B44A62"/>
    <w:rsid w:val="00B45095"/>
    <w:rsid w:val="00B45B40"/>
    <w:rsid w:val="00B509E3"/>
    <w:rsid w:val="00B53899"/>
    <w:rsid w:val="00B55617"/>
    <w:rsid w:val="00B5610D"/>
    <w:rsid w:val="00B57DD9"/>
    <w:rsid w:val="00B62612"/>
    <w:rsid w:val="00B635C4"/>
    <w:rsid w:val="00B64CDC"/>
    <w:rsid w:val="00B70471"/>
    <w:rsid w:val="00B70D80"/>
    <w:rsid w:val="00B71AC0"/>
    <w:rsid w:val="00B8041B"/>
    <w:rsid w:val="00B84F48"/>
    <w:rsid w:val="00B85585"/>
    <w:rsid w:val="00B85F29"/>
    <w:rsid w:val="00B869A6"/>
    <w:rsid w:val="00B86B38"/>
    <w:rsid w:val="00B96311"/>
    <w:rsid w:val="00BA0C9B"/>
    <w:rsid w:val="00BA168D"/>
    <w:rsid w:val="00BA1852"/>
    <w:rsid w:val="00BA1918"/>
    <w:rsid w:val="00BA4FE8"/>
    <w:rsid w:val="00BA5425"/>
    <w:rsid w:val="00BA7E9C"/>
    <w:rsid w:val="00BB1940"/>
    <w:rsid w:val="00BB41D4"/>
    <w:rsid w:val="00BB4310"/>
    <w:rsid w:val="00BB4B8C"/>
    <w:rsid w:val="00BB769D"/>
    <w:rsid w:val="00BB7E05"/>
    <w:rsid w:val="00BC10F6"/>
    <w:rsid w:val="00BC201E"/>
    <w:rsid w:val="00BC32C4"/>
    <w:rsid w:val="00BC7BBC"/>
    <w:rsid w:val="00BD13F7"/>
    <w:rsid w:val="00BD3742"/>
    <w:rsid w:val="00BD44AF"/>
    <w:rsid w:val="00BD52D9"/>
    <w:rsid w:val="00BD5557"/>
    <w:rsid w:val="00BD6AEA"/>
    <w:rsid w:val="00BD707D"/>
    <w:rsid w:val="00BD7838"/>
    <w:rsid w:val="00BE03A7"/>
    <w:rsid w:val="00BE0DC4"/>
    <w:rsid w:val="00BE0E50"/>
    <w:rsid w:val="00BE1731"/>
    <w:rsid w:val="00BE3CC8"/>
    <w:rsid w:val="00BE4D2B"/>
    <w:rsid w:val="00BE58FC"/>
    <w:rsid w:val="00BE5CB6"/>
    <w:rsid w:val="00BE737C"/>
    <w:rsid w:val="00BF3897"/>
    <w:rsid w:val="00BF41E8"/>
    <w:rsid w:val="00BF7D17"/>
    <w:rsid w:val="00C01D1E"/>
    <w:rsid w:val="00C041DF"/>
    <w:rsid w:val="00C12E8A"/>
    <w:rsid w:val="00C15877"/>
    <w:rsid w:val="00C236D7"/>
    <w:rsid w:val="00C23E3D"/>
    <w:rsid w:val="00C30576"/>
    <w:rsid w:val="00C3080D"/>
    <w:rsid w:val="00C32EC0"/>
    <w:rsid w:val="00C33C88"/>
    <w:rsid w:val="00C40C90"/>
    <w:rsid w:val="00C40FE2"/>
    <w:rsid w:val="00C44E48"/>
    <w:rsid w:val="00C45D72"/>
    <w:rsid w:val="00C47000"/>
    <w:rsid w:val="00C470DB"/>
    <w:rsid w:val="00C52107"/>
    <w:rsid w:val="00C52BA8"/>
    <w:rsid w:val="00C54824"/>
    <w:rsid w:val="00C557E0"/>
    <w:rsid w:val="00C660E8"/>
    <w:rsid w:val="00C66336"/>
    <w:rsid w:val="00C70031"/>
    <w:rsid w:val="00C7193C"/>
    <w:rsid w:val="00C73684"/>
    <w:rsid w:val="00C73E10"/>
    <w:rsid w:val="00C7578C"/>
    <w:rsid w:val="00C76568"/>
    <w:rsid w:val="00C76FB8"/>
    <w:rsid w:val="00C77695"/>
    <w:rsid w:val="00C818DF"/>
    <w:rsid w:val="00C8357D"/>
    <w:rsid w:val="00C85136"/>
    <w:rsid w:val="00C85E0E"/>
    <w:rsid w:val="00C91425"/>
    <w:rsid w:val="00C96194"/>
    <w:rsid w:val="00C9729A"/>
    <w:rsid w:val="00CA6BC6"/>
    <w:rsid w:val="00CB1374"/>
    <w:rsid w:val="00CB23DC"/>
    <w:rsid w:val="00CB3736"/>
    <w:rsid w:val="00CB5046"/>
    <w:rsid w:val="00CB51AF"/>
    <w:rsid w:val="00CB536C"/>
    <w:rsid w:val="00CC1B40"/>
    <w:rsid w:val="00CC38AB"/>
    <w:rsid w:val="00CD04D3"/>
    <w:rsid w:val="00CD16AE"/>
    <w:rsid w:val="00CF1E24"/>
    <w:rsid w:val="00CF3AEC"/>
    <w:rsid w:val="00D04291"/>
    <w:rsid w:val="00D046D5"/>
    <w:rsid w:val="00D056B1"/>
    <w:rsid w:val="00D1129E"/>
    <w:rsid w:val="00D114B8"/>
    <w:rsid w:val="00D21083"/>
    <w:rsid w:val="00D2412E"/>
    <w:rsid w:val="00D244CD"/>
    <w:rsid w:val="00D271FE"/>
    <w:rsid w:val="00D35077"/>
    <w:rsid w:val="00D4223E"/>
    <w:rsid w:val="00D43E32"/>
    <w:rsid w:val="00D45776"/>
    <w:rsid w:val="00D464BF"/>
    <w:rsid w:val="00D4755C"/>
    <w:rsid w:val="00D55949"/>
    <w:rsid w:val="00D569C5"/>
    <w:rsid w:val="00D612F8"/>
    <w:rsid w:val="00D61E88"/>
    <w:rsid w:val="00D62AF1"/>
    <w:rsid w:val="00D63868"/>
    <w:rsid w:val="00D67F7B"/>
    <w:rsid w:val="00D715F0"/>
    <w:rsid w:val="00D7209D"/>
    <w:rsid w:val="00D724AC"/>
    <w:rsid w:val="00D743D0"/>
    <w:rsid w:val="00D74B9C"/>
    <w:rsid w:val="00D82052"/>
    <w:rsid w:val="00D839E0"/>
    <w:rsid w:val="00D86FD7"/>
    <w:rsid w:val="00D928C3"/>
    <w:rsid w:val="00D92B16"/>
    <w:rsid w:val="00D946CD"/>
    <w:rsid w:val="00DA056B"/>
    <w:rsid w:val="00DA20DF"/>
    <w:rsid w:val="00DA2D95"/>
    <w:rsid w:val="00DA36A0"/>
    <w:rsid w:val="00DA3EB4"/>
    <w:rsid w:val="00DA4F11"/>
    <w:rsid w:val="00DA5F74"/>
    <w:rsid w:val="00DA6A10"/>
    <w:rsid w:val="00DB2F27"/>
    <w:rsid w:val="00DB3BEF"/>
    <w:rsid w:val="00DB3C58"/>
    <w:rsid w:val="00DB75D5"/>
    <w:rsid w:val="00DC4F35"/>
    <w:rsid w:val="00DC77A9"/>
    <w:rsid w:val="00DC7A21"/>
    <w:rsid w:val="00DD1E17"/>
    <w:rsid w:val="00DD78CB"/>
    <w:rsid w:val="00DE0040"/>
    <w:rsid w:val="00DE008D"/>
    <w:rsid w:val="00DE4877"/>
    <w:rsid w:val="00DE743C"/>
    <w:rsid w:val="00DE7CE6"/>
    <w:rsid w:val="00DF0CD5"/>
    <w:rsid w:val="00DF14F8"/>
    <w:rsid w:val="00DF380B"/>
    <w:rsid w:val="00DF4E4C"/>
    <w:rsid w:val="00DF7C1B"/>
    <w:rsid w:val="00E10571"/>
    <w:rsid w:val="00E10D7F"/>
    <w:rsid w:val="00E13C5F"/>
    <w:rsid w:val="00E1790A"/>
    <w:rsid w:val="00E202AB"/>
    <w:rsid w:val="00E23280"/>
    <w:rsid w:val="00E23BE4"/>
    <w:rsid w:val="00E24CD6"/>
    <w:rsid w:val="00E24DEC"/>
    <w:rsid w:val="00E27106"/>
    <w:rsid w:val="00E27FDE"/>
    <w:rsid w:val="00E31154"/>
    <w:rsid w:val="00E328C4"/>
    <w:rsid w:val="00E3413C"/>
    <w:rsid w:val="00E354AF"/>
    <w:rsid w:val="00E36F57"/>
    <w:rsid w:val="00E374C2"/>
    <w:rsid w:val="00E409BE"/>
    <w:rsid w:val="00E42044"/>
    <w:rsid w:val="00E42275"/>
    <w:rsid w:val="00E432EA"/>
    <w:rsid w:val="00E44208"/>
    <w:rsid w:val="00E44981"/>
    <w:rsid w:val="00E46FD0"/>
    <w:rsid w:val="00E50538"/>
    <w:rsid w:val="00E507C2"/>
    <w:rsid w:val="00E56D3C"/>
    <w:rsid w:val="00E641E2"/>
    <w:rsid w:val="00E67B16"/>
    <w:rsid w:val="00E70A4B"/>
    <w:rsid w:val="00E73422"/>
    <w:rsid w:val="00E84EC7"/>
    <w:rsid w:val="00E90459"/>
    <w:rsid w:val="00EA3982"/>
    <w:rsid w:val="00EA3DB1"/>
    <w:rsid w:val="00EB122B"/>
    <w:rsid w:val="00EB21C5"/>
    <w:rsid w:val="00EB2A32"/>
    <w:rsid w:val="00EB2E8F"/>
    <w:rsid w:val="00EB348E"/>
    <w:rsid w:val="00EB6D4D"/>
    <w:rsid w:val="00EB7907"/>
    <w:rsid w:val="00EC5D5D"/>
    <w:rsid w:val="00EC6DC9"/>
    <w:rsid w:val="00ED2AC9"/>
    <w:rsid w:val="00EE0845"/>
    <w:rsid w:val="00EE108B"/>
    <w:rsid w:val="00EE30C1"/>
    <w:rsid w:val="00EE4839"/>
    <w:rsid w:val="00EE6C1B"/>
    <w:rsid w:val="00EF0543"/>
    <w:rsid w:val="00EF0786"/>
    <w:rsid w:val="00EF2260"/>
    <w:rsid w:val="00EF4BAA"/>
    <w:rsid w:val="00F01E70"/>
    <w:rsid w:val="00F021C4"/>
    <w:rsid w:val="00F049CB"/>
    <w:rsid w:val="00F139E2"/>
    <w:rsid w:val="00F16D30"/>
    <w:rsid w:val="00F17D42"/>
    <w:rsid w:val="00F210C3"/>
    <w:rsid w:val="00F214C8"/>
    <w:rsid w:val="00F21522"/>
    <w:rsid w:val="00F236D0"/>
    <w:rsid w:val="00F254ED"/>
    <w:rsid w:val="00F26FC8"/>
    <w:rsid w:val="00F33493"/>
    <w:rsid w:val="00F33722"/>
    <w:rsid w:val="00F40073"/>
    <w:rsid w:val="00F43EC6"/>
    <w:rsid w:val="00F451DF"/>
    <w:rsid w:val="00F51814"/>
    <w:rsid w:val="00F5479D"/>
    <w:rsid w:val="00F62AB3"/>
    <w:rsid w:val="00F63DCF"/>
    <w:rsid w:val="00F63DFC"/>
    <w:rsid w:val="00F661BD"/>
    <w:rsid w:val="00F70395"/>
    <w:rsid w:val="00F7227C"/>
    <w:rsid w:val="00F767AD"/>
    <w:rsid w:val="00F908D2"/>
    <w:rsid w:val="00F91943"/>
    <w:rsid w:val="00F95162"/>
    <w:rsid w:val="00FA043B"/>
    <w:rsid w:val="00FB0136"/>
    <w:rsid w:val="00FB1D99"/>
    <w:rsid w:val="00FB433D"/>
    <w:rsid w:val="00FB5DA1"/>
    <w:rsid w:val="00FC0DFA"/>
    <w:rsid w:val="00FC0E27"/>
    <w:rsid w:val="00FC1300"/>
    <w:rsid w:val="00FC2044"/>
    <w:rsid w:val="00FC3AC1"/>
    <w:rsid w:val="00FC5555"/>
    <w:rsid w:val="00FC5BCA"/>
    <w:rsid w:val="00FC65FE"/>
    <w:rsid w:val="00FC75D8"/>
    <w:rsid w:val="00FD5553"/>
    <w:rsid w:val="00FD5D6B"/>
    <w:rsid w:val="00FD6FB8"/>
    <w:rsid w:val="00FE18C9"/>
    <w:rsid w:val="00FE2B83"/>
    <w:rsid w:val="00FE78F5"/>
    <w:rsid w:val="00FF1108"/>
    <w:rsid w:val="00FF3829"/>
    <w:rsid w:val="00FF5874"/>
    <w:rsid w:val="010423EA"/>
    <w:rsid w:val="0120629F"/>
    <w:rsid w:val="01401261"/>
    <w:rsid w:val="01570A92"/>
    <w:rsid w:val="01610C1B"/>
    <w:rsid w:val="016D665C"/>
    <w:rsid w:val="017F744D"/>
    <w:rsid w:val="01AD59F3"/>
    <w:rsid w:val="01B74816"/>
    <w:rsid w:val="01CA7F56"/>
    <w:rsid w:val="01D129C1"/>
    <w:rsid w:val="01D51ED9"/>
    <w:rsid w:val="01DA2657"/>
    <w:rsid w:val="01E7057C"/>
    <w:rsid w:val="01ED03C8"/>
    <w:rsid w:val="01EE4476"/>
    <w:rsid w:val="01FE6225"/>
    <w:rsid w:val="02031F28"/>
    <w:rsid w:val="020A431D"/>
    <w:rsid w:val="02196DA1"/>
    <w:rsid w:val="022D7108"/>
    <w:rsid w:val="022F511C"/>
    <w:rsid w:val="02322046"/>
    <w:rsid w:val="023A23B3"/>
    <w:rsid w:val="023D5F86"/>
    <w:rsid w:val="023E0E6C"/>
    <w:rsid w:val="025A255A"/>
    <w:rsid w:val="02835717"/>
    <w:rsid w:val="02875AAA"/>
    <w:rsid w:val="028B5877"/>
    <w:rsid w:val="02D52348"/>
    <w:rsid w:val="02DB43E4"/>
    <w:rsid w:val="02DC528A"/>
    <w:rsid w:val="02F079B0"/>
    <w:rsid w:val="02F54B9D"/>
    <w:rsid w:val="02FB0267"/>
    <w:rsid w:val="030C6791"/>
    <w:rsid w:val="030D0562"/>
    <w:rsid w:val="03133BA2"/>
    <w:rsid w:val="03147B4D"/>
    <w:rsid w:val="032635A8"/>
    <w:rsid w:val="03276522"/>
    <w:rsid w:val="032A59A5"/>
    <w:rsid w:val="032C3167"/>
    <w:rsid w:val="033D45D7"/>
    <w:rsid w:val="036A7762"/>
    <w:rsid w:val="037E31D4"/>
    <w:rsid w:val="03806F86"/>
    <w:rsid w:val="03957C2E"/>
    <w:rsid w:val="039A4813"/>
    <w:rsid w:val="03A92A0D"/>
    <w:rsid w:val="03AF0D29"/>
    <w:rsid w:val="03B146BA"/>
    <w:rsid w:val="03B50496"/>
    <w:rsid w:val="03BD7EC9"/>
    <w:rsid w:val="040322E1"/>
    <w:rsid w:val="04117BDE"/>
    <w:rsid w:val="041F74C4"/>
    <w:rsid w:val="04242E7E"/>
    <w:rsid w:val="04277995"/>
    <w:rsid w:val="0474639B"/>
    <w:rsid w:val="0477725C"/>
    <w:rsid w:val="04886624"/>
    <w:rsid w:val="04891E05"/>
    <w:rsid w:val="048C3708"/>
    <w:rsid w:val="04A673B8"/>
    <w:rsid w:val="04AA5724"/>
    <w:rsid w:val="04AF015B"/>
    <w:rsid w:val="04AF3367"/>
    <w:rsid w:val="04B84288"/>
    <w:rsid w:val="04D65757"/>
    <w:rsid w:val="04E1639D"/>
    <w:rsid w:val="04E452F2"/>
    <w:rsid w:val="04E828E1"/>
    <w:rsid w:val="04EC6CF1"/>
    <w:rsid w:val="04F45C4C"/>
    <w:rsid w:val="05005DDB"/>
    <w:rsid w:val="0519113F"/>
    <w:rsid w:val="05253812"/>
    <w:rsid w:val="0539049A"/>
    <w:rsid w:val="0540772E"/>
    <w:rsid w:val="05412B8A"/>
    <w:rsid w:val="05571238"/>
    <w:rsid w:val="05591EC0"/>
    <w:rsid w:val="056C69C5"/>
    <w:rsid w:val="05762719"/>
    <w:rsid w:val="0596692B"/>
    <w:rsid w:val="059813E2"/>
    <w:rsid w:val="05D319EE"/>
    <w:rsid w:val="05F5288D"/>
    <w:rsid w:val="060972F9"/>
    <w:rsid w:val="060D2627"/>
    <w:rsid w:val="062E3973"/>
    <w:rsid w:val="066611B4"/>
    <w:rsid w:val="066A4963"/>
    <w:rsid w:val="066F7B2F"/>
    <w:rsid w:val="06794D29"/>
    <w:rsid w:val="068576C2"/>
    <w:rsid w:val="069F3668"/>
    <w:rsid w:val="06B256EA"/>
    <w:rsid w:val="06BB173E"/>
    <w:rsid w:val="06DA4BFF"/>
    <w:rsid w:val="06E46315"/>
    <w:rsid w:val="06E57E59"/>
    <w:rsid w:val="06E6662D"/>
    <w:rsid w:val="06EB6E26"/>
    <w:rsid w:val="06F236C1"/>
    <w:rsid w:val="06F459CB"/>
    <w:rsid w:val="06F61560"/>
    <w:rsid w:val="06FA7BA3"/>
    <w:rsid w:val="070B5852"/>
    <w:rsid w:val="07193C85"/>
    <w:rsid w:val="071B600A"/>
    <w:rsid w:val="073435EB"/>
    <w:rsid w:val="074A5466"/>
    <w:rsid w:val="0752758F"/>
    <w:rsid w:val="07635450"/>
    <w:rsid w:val="07840B01"/>
    <w:rsid w:val="079528D4"/>
    <w:rsid w:val="07963FE1"/>
    <w:rsid w:val="07AB0EA8"/>
    <w:rsid w:val="07BC5F66"/>
    <w:rsid w:val="07BE5732"/>
    <w:rsid w:val="07C37441"/>
    <w:rsid w:val="07C716F9"/>
    <w:rsid w:val="08221E8D"/>
    <w:rsid w:val="08586C10"/>
    <w:rsid w:val="08653E19"/>
    <w:rsid w:val="08721F3D"/>
    <w:rsid w:val="08845F2D"/>
    <w:rsid w:val="088F7A28"/>
    <w:rsid w:val="08A2174C"/>
    <w:rsid w:val="08BC0804"/>
    <w:rsid w:val="08D977FA"/>
    <w:rsid w:val="08F55D20"/>
    <w:rsid w:val="08F81519"/>
    <w:rsid w:val="09012917"/>
    <w:rsid w:val="09053161"/>
    <w:rsid w:val="09133AAA"/>
    <w:rsid w:val="092021D8"/>
    <w:rsid w:val="092B083C"/>
    <w:rsid w:val="093E16E9"/>
    <w:rsid w:val="094A1069"/>
    <w:rsid w:val="094F2133"/>
    <w:rsid w:val="09656686"/>
    <w:rsid w:val="097B7545"/>
    <w:rsid w:val="099F1206"/>
    <w:rsid w:val="09BE46DD"/>
    <w:rsid w:val="09BE70BB"/>
    <w:rsid w:val="09C377EE"/>
    <w:rsid w:val="09D4673E"/>
    <w:rsid w:val="09ED0BAA"/>
    <w:rsid w:val="09EF1F78"/>
    <w:rsid w:val="09F42BCA"/>
    <w:rsid w:val="09F73E6D"/>
    <w:rsid w:val="09F9539C"/>
    <w:rsid w:val="0A0429E7"/>
    <w:rsid w:val="0A0802B7"/>
    <w:rsid w:val="0A111D2C"/>
    <w:rsid w:val="0A152812"/>
    <w:rsid w:val="0A16250F"/>
    <w:rsid w:val="0A2C40E0"/>
    <w:rsid w:val="0A4B76B9"/>
    <w:rsid w:val="0A5779C6"/>
    <w:rsid w:val="0A6767AA"/>
    <w:rsid w:val="0A7834EC"/>
    <w:rsid w:val="0A7D34B7"/>
    <w:rsid w:val="0A864517"/>
    <w:rsid w:val="0A903966"/>
    <w:rsid w:val="0A9615D9"/>
    <w:rsid w:val="0A9A1837"/>
    <w:rsid w:val="0AA93AA8"/>
    <w:rsid w:val="0AAB2FD1"/>
    <w:rsid w:val="0AB216B0"/>
    <w:rsid w:val="0ADB54DC"/>
    <w:rsid w:val="0ADC4C15"/>
    <w:rsid w:val="0AE22C47"/>
    <w:rsid w:val="0AE63596"/>
    <w:rsid w:val="0AF34FF0"/>
    <w:rsid w:val="0AFE12D9"/>
    <w:rsid w:val="0B181232"/>
    <w:rsid w:val="0B1E1C4F"/>
    <w:rsid w:val="0B221966"/>
    <w:rsid w:val="0B2C4052"/>
    <w:rsid w:val="0B2E0B3A"/>
    <w:rsid w:val="0B3F427B"/>
    <w:rsid w:val="0B554A60"/>
    <w:rsid w:val="0B6B506D"/>
    <w:rsid w:val="0B6C52EC"/>
    <w:rsid w:val="0B703E1E"/>
    <w:rsid w:val="0B7A50B9"/>
    <w:rsid w:val="0B7B2615"/>
    <w:rsid w:val="0B8508D8"/>
    <w:rsid w:val="0B9B0286"/>
    <w:rsid w:val="0BA27DDE"/>
    <w:rsid w:val="0BAA38FF"/>
    <w:rsid w:val="0BB95AA5"/>
    <w:rsid w:val="0BDD199C"/>
    <w:rsid w:val="0BE01541"/>
    <w:rsid w:val="0BF735A3"/>
    <w:rsid w:val="0C03249A"/>
    <w:rsid w:val="0C0F534B"/>
    <w:rsid w:val="0C210675"/>
    <w:rsid w:val="0C2F02E8"/>
    <w:rsid w:val="0C6B3613"/>
    <w:rsid w:val="0C6D6E54"/>
    <w:rsid w:val="0C774737"/>
    <w:rsid w:val="0C796F36"/>
    <w:rsid w:val="0C7D4B60"/>
    <w:rsid w:val="0C8C494F"/>
    <w:rsid w:val="0C8C54F3"/>
    <w:rsid w:val="0C9327B6"/>
    <w:rsid w:val="0C9E3391"/>
    <w:rsid w:val="0CAB374E"/>
    <w:rsid w:val="0CC87DFD"/>
    <w:rsid w:val="0CCB69FF"/>
    <w:rsid w:val="0CD8166B"/>
    <w:rsid w:val="0D1F336B"/>
    <w:rsid w:val="0D222239"/>
    <w:rsid w:val="0D520107"/>
    <w:rsid w:val="0D793952"/>
    <w:rsid w:val="0D8306B0"/>
    <w:rsid w:val="0D9B49BA"/>
    <w:rsid w:val="0DC2540D"/>
    <w:rsid w:val="0DC5213C"/>
    <w:rsid w:val="0DC6243D"/>
    <w:rsid w:val="0DD83A39"/>
    <w:rsid w:val="0E15651D"/>
    <w:rsid w:val="0E176874"/>
    <w:rsid w:val="0E1A399E"/>
    <w:rsid w:val="0E1F04B7"/>
    <w:rsid w:val="0E331EEF"/>
    <w:rsid w:val="0E3E4091"/>
    <w:rsid w:val="0E5A5640"/>
    <w:rsid w:val="0E683740"/>
    <w:rsid w:val="0E6B0BB5"/>
    <w:rsid w:val="0E790CB6"/>
    <w:rsid w:val="0E7F7B4A"/>
    <w:rsid w:val="0E853A43"/>
    <w:rsid w:val="0E911A2F"/>
    <w:rsid w:val="0E9A3B5C"/>
    <w:rsid w:val="0EAD62E1"/>
    <w:rsid w:val="0EAF3B5C"/>
    <w:rsid w:val="0EB0661C"/>
    <w:rsid w:val="0EB65E78"/>
    <w:rsid w:val="0EBC13EF"/>
    <w:rsid w:val="0EC171C3"/>
    <w:rsid w:val="0EC31706"/>
    <w:rsid w:val="0EC3697F"/>
    <w:rsid w:val="0EDB3E9F"/>
    <w:rsid w:val="0EF32D02"/>
    <w:rsid w:val="0EF335CC"/>
    <w:rsid w:val="0EFC576A"/>
    <w:rsid w:val="0F094101"/>
    <w:rsid w:val="0F1827E1"/>
    <w:rsid w:val="0F1A01EA"/>
    <w:rsid w:val="0F1E2DE8"/>
    <w:rsid w:val="0F2272DC"/>
    <w:rsid w:val="0F5C4A9D"/>
    <w:rsid w:val="0F6E05DA"/>
    <w:rsid w:val="0F6F1E07"/>
    <w:rsid w:val="0F771971"/>
    <w:rsid w:val="0F8971C2"/>
    <w:rsid w:val="0F8D76C5"/>
    <w:rsid w:val="0F8F7976"/>
    <w:rsid w:val="0F9C1F95"/>
    <w:rsid w:val="0FA4532C"/>
    <w:rsid w:val="0FA9091E"/>
    <w:rsid w:val="0FB9318B"/>
    <w:rsid w:val="0FCA7FC6"/>
    <w:rsid w:val="0FE511E1"/>
    <w:rsid w:val="10015B34"/>
    <w:rsid w:val="100D5D94"/>
    <w:rsid w:val="10193224"/>
    <w:rsid w:val="10346239"/>
    <w:rsid w:val="10355FFF"/>
    <w:rsid w:val="10443948"/>
    <w:rsid w:val="10481FCD"/>
    <w:rsid w:val="10771710"/>
    <w:rsid w:val="10847E5B"/>
    <w:rsid w:val="10881228"/>
    <w:rsid w:val="10953548"/>
    <w:rsid w:val="10A6535A"/>
    <w:rsid w:val="10AB0F52"/>
    <w:rsid w:val="10C06506"/>
    <w:rsid w:val="10C2206D"/>
    <w:rsid w:val="10C50F55"/>
    <w:rsid w:val="10CF48A5"/>
    <w:rsid w:val="10E6606F"/>
    <w:rsid w:val="10F465AD"/>
    <w:rsid w:val="10F90377"/>
    <w:rsid w:val="10FE6A83"/>
    <w:rsid w:val="11081351"/>
    <w:rsid w:val="111A7782"/>
    <w:rsid w:val="112B2D47"/>
    <w:rsid w:val="113A5E2A"/>
    <w:rsid w:val="113B1E44"/>
    <w:rsid w:val="11486616"/>
    <w:rsid w:val="11491FD0"/>
    <w:rsid w:val="114958E4"/>
    <w:rsid w:val="1153364B"/>
    <w:rsid w:val="11BA360A"/>
    <w:rsid w:val="11D562A8"/>
    <w:rsid w:val="11DA34C2"/>
    <w:rsid w:val="11FA58BC"/>
    <w:rsid w:val="12014536"/>
    <w:rsid w:val="12055281"/>
    <w:rsid w:val="120A37EF"/>
    <w:rsid w:val="120F14DF"/>
    <w:rsid w:val="121B6DFD"/>
    <w:rsid w:val="12364D6D"/>
    <w:rsid w:val="12460FD7"/>
    <w:rsid w:val="124F6F0B"/>
    <w:rsid w:val="12534CD7"/>
    <w:rsid w:val="12572A3D"/>
    <w:rsid w:val="125E20A4"/>
    <w:rsid w:val="12661BB9"/>
    <w:rsid w:val="126E0EE7"/>
    <w:rsid w:val="128434C4"/>
    <w:rsid w:val="128F5C70"/>
    <w:rsid w:val="12994408"/>
    <w:rsid w:val="12A42EDA"/>
    <w:rsid w:val="12AB529C"/>
    <w:rsid w:val="12B52EBA"/>
    <w:rsid w:val="12BA03D6"/>
    <w:rsid w:val="12F26403"/>
    <w:rsid w:val="12FA1BBD"/>
    <w:rsid w:val="13091D98"/>
    <w:rsid w:val="1309333A"/>
    <w:rsid w:val="13293588"/>
    <w:rsid w:val="133B4F87"/>
    <w:rsid w:val="13675A6C"/>
    <w:rsid w:val="136D55FA"/>
    <w:rsid w:val="13782C9A"/>
    <w:rsid w:val="137C12E0"/>
    <w:rsid w:val="13800937"/>
    <w:rsid w:val="138403DE"/>
    <w:rsid w:val="138F09C8"/>
    <w:rsid w:val="13987D7B"/>
    <w:rsid w:val="139D377B"/>
    <w:rsid w:val="13A27D2F"/>
    <w:rsid w:val="13B24688"/>
    <w:rsid w:val="13BA2219"/>
    <w:rsid w:val="13C33246"/>
    <w:rsid w:val="13D0512E"/>
    <w:rsid w:val="13E0493C"/>
    <w:rsid w:val="14302898"/>
    <w:rsid w:val="14327108"/>
    <w:rsid w:val="143D5011"/>
    <w:rsid w:val="145926A5"/>
    <w:rsid w:val="14731BC7"/>
    <w:rsid w:val="1488267F"/>
    <w:rsid w:val="148C5D55"/>
    <w:rsid w:val="149A155E"/>
    <w:rsid w:val="14AD04F7"/>
    <w:rsid w:val="14B06F9F"/>
    <w:rsid w:val="14C53592"/>
    <w:rsid w:val="14D54BF6"/>
    <w:rsid w:val="14DE104B"/>
    <w:rsid w:val="14FA5875"/>
    <w:rsid w:val="14FF5662"/>
    <w:rsid w:val="15051099"/>
    <w:rsid w:val="154067B0"/>
    <w:rsid w:val="157F4BF0"/>
    <w:rsid w:val="15853C66"/>
    <w:rsid w:val="15AE7982"/>
    <w:rsid w:val="15D22032"/>
    <w:rsid w:val="15D42FD7"/>
    <w:rsid w:val="15DE0D79"/>
    <w:rsid w:val="15E0665D"/>
    <w:rsid w:val="15EC6A40"/>
    <w:rsid w:val="15FE4E9D"/>
    <w:rsid w:val="16091165"/>
    <w:rsid w:val="1610681D"/>
    <w:rsid w:val="16134A1B"/>
    <w:rsid w:val="16291856"/>
    <w:rsid w:val="1658331A"/>
    <w:rsid w:val="16731128"/>
    <w:rsid w:val="16917795"/>
    <w:rsid w:val="16AA3F31"/>
    <w:rsid w:val="16BD19B8"/>
    <w:rsid w:val="16E90847"/>
    <w:rsid w:val="17087DF6"/>
    <w:rsid w:val="170D042D"/>
    <w:rsid w:val="171921A2"/>
    <w:rsid w:val="172A4942"/>
    <w:rsid w:val="172C5885"/>
    <w:rsid w:val="173572E6"/>
    <w:rsid w:val="174B41DF"/>
    <w:rsid w:val="17597B5D"/>
    <w:rsid w:val="176F694C"/>
    <w:rsid w:val="17706C25"/>
    <w:rsid w:val="177C4650"/>
    <w:rsid w:val="178164DB"/>
    <w:rsid w:val="17852E9D"/>
    <w:rsid w:val="179B39E4"/>
    <w:rsid w:val="17A63CC6"/>
    <w:rsid w:val="17A7586E"/>
    <w:rsid w:val="17A80BA1"/>
    <w:rsid w:val="17AC47B5"/>
    <w:rsid w:val="180610D0"/>
    <w:rsid w:val="181D481C"/>
    <w:rsid w:val="1848109F"/>
    <w:rsid w:val="18690D0F"/>
    <w:rsid w:val="186C4DCE"/>
    <w:rsid w:val="186D1C21"/>
    <w:rsid w:val="18781235"/>
    <w:rsid w:val="18784C6F"/>
    <w:rsid w:val="18947C6E"/>
    <w:rsid w:val="189630AF"/>
    <w:rsid w:val="189746FE"/>
    <w:rsid w:val="18A14E4B"/>
    <w:rsid w:val="18AE6499"/>
    <w:rsid w:val="18DA2DD5"/>
    <w:rsid w:val="18E62D0E"/>
    <w:rsid w:val="18ED431E"/>
    <w:rsid w:val="18F558C8"/>
    <w:rsid w:val="18F733EE"/>
    <w:rsid w:val="19042A9A"/>
    <w:rsid w:val="190E02F5"/>
    <w:rsid w:val="193B2218"/>
    <w:rsid w:val="193F1DC3"/>
    <w:rsid w:val="193F7B96"/>
    <w:rsid w:val="19497718"/>
    <w:rsid w:val="19556AE8"/>
    <w:rsid w:val="19725874"/>
    <w:rsid w:val="197365D6"/>
    <w:rsid w:val="19834588"/>
    <w:rsid w:val="198B0A9E"/>
    <w:rsid w:val="19917207"/>
    <w:rsid w:val="199336B0"/>
    <w:rsid w:val="19A618F0"/>
    <w:rsid w:val="19AB53D6"/>
    <w:rsid w:val="19BD7FFA"/>
    <w:rsid w:val="19C014A2"/>
    <w:rsid w:val="19D61022"/>
    <w:rsid w:val="19D67F22"/>
    <w:rsid w:val="19DB0B95"/>
    <w:rsid w:val="19F0157B"/>
    <w:rsid w:val="1A0A15C9"/>
    <w:rsid w:val="1A0A19B1"/>
    <w:rsid w:val="1A0F2704"/>
    <w:rsid w:val="1A1A2EBE"/>
    <w:rsid w:val="1A1B135F"/>
    <w:rsid w:val="1A1E6E87"/>
    <w:rsid w:val="1A2372D0"/>
    <w:rsid w:val="1A240213"/>
    <w:rsid w:val="1A4A39F2"/>
    <w:rsid w:val="1A4B0C66"/>
    <w:rsid w:val="1A601272"/>
    <w:rsid w:val="1A6E1B37"/>
    <w:rsid w:val="1A8332DF"/>
    <w:rsid w:val="1A9C69D8"/>
    <w:rsid w:val="1A9F5F5C"/>
    <w:rsid w:val="1AA05570"/>
    <w:rsid w:val="1AA86DDE"/>
    <w:rsid w:val="1AA94432"/>
    <w:rsid w:val="1AAD778A"/>
    <w:rsid w:val="1AB962F4"/>
    <w:rsid w:val="1AC47B0D"/>
    <w:rsid w:val="1AF86159"/>
    <w:rsid w:val="1B05692E"/>
    <w:rsid w:val="1B067391"/>
    <w:rsid w:val="1B2524F8"/>
    <w:rsid w:val="1B3D0B1C"/>
    <w:rsid w:val="1B417856"/>
    <w:rsid w:val="1B5028A2"/>
    <w:rsid w:val="1B5C377A"/>
    <w:rsid w:val="1B7F598B"/>
    <w:rsid w:val="1B834318"/>
    <w:rsid w:val="1B8656A9"/>
    <w:rsid w:val="1B9259B2"/>
    <w:rsid w:val="1B9C0AA8"/>
    <w:rsid w:val="1B9F2AE7"/>
    <w:rsid w:val="1B9F3D9C"/>
    <w:rsid w:val="1BA545A8"/>
    <w:rsid w:val="1BB83A28"/>
    <w:rsid w:val="1BC0453A"/>
    <w:rsid w:val="1C0802D3"/>
    <w:rsid w:val="1C442D1A"/>
    <w:rsid w:val="1C565929"/>
    <w:rsid w:val="1C6B0A76"/>
    <w:rsid w:val="1C7D3C0B"/>
    <w:rsid w:val="1C8C313B"/>
    <w:rsid w:val="1CCE690C"/>
    <w:rsid w:val="1CDA5E1A"/>
    <w:rsid w:val="1CE617B0"/>
    <w:rsid w:val="1CF93560"/>
    <w:rsid w:val="1D043026"/>
    <w:rsid w:val="1D0D6ECE"/>
    <w:rsid w:val="1D1620BE"/>
    <w:rsid w:val="1D4D4B85"/>
    <w:rsid w:val="1D631052"/>
    <w:rsid w:val="1D6A7999"/>
    <w:rsid w:val="1D7B7CC8"/>
    <w:rsid w:val="1D82393F"/>
    <w:rsid w:val="1D8B0858"/>
    <w:rsid w:val="1D8C30B0"/>
    <w:rsid w:val="1D966F96"/>
    <w:rsid w:val="1D9A69CA"/>
    <w:rsid w:val="1DA34564"/>
    <w:rsid w:val="1DC233E3"/>
    <w:rsid w:val="1DCE3BD5"/>
    <w:rsid w:val="1DD6207C"/>
    <w:rsid w:val="1DDC0E05"/>
    <w:rsid w:val="1DDD183D"/>
    <w:rsid w:val="1DDE51B4"/>
    <w:rsid w:val="1DE21CA9"/>
    <w:rsid w:val="1DE479B4"/>
    <w:rsid w:val="1E0B7F0A"/>
    <w:rsid w:val="1E1D18DF"/>
    <w:rsid w:val="1E214A6A"/>
    <w:rsid w:val="1E3D18A3"/>
    <w:rsid w:val="1E791FA7"/>
    <w:rsid w:val="1E7D5262"/>
    <w:rsid w:val="1E872015"/>
    <w:rsid w:val="1EAB5DDB"/>
    <w:rsid w:val="1ECC42BA"/>
    <w:rsid w:val="1EE818B9"/>
    <w:rsid w:val="1EE94125"/>
    <w:rsid w:val="1EEF4E9E"/>
    <w:rsid w:val="1F0E52EE"/>
    <w:rsid w:val="1F122D30"/>
    <w:rsid w:val="1F14092C"/>
    <w:rsid w:val="1F4B45E5"/>
    <w:rsid w:val="1F5634EC"/>
    <w:rsid w:val="1F5C3386"/>
    <w:rsid w:val="1F6B5C35"/>
    <w:rsid w:val="1F76270A"/>
    <w:rsid w:val="1F8D355B"/>
    <w:rsid w:val="1F8D44D2"/>
    <w:rsid w:val="1F96621D"/>
    <w:rsid w:val="1FB6428A"/>
    <w:rsid w:val="1FD23A44"/>
    <w:rsid w:val="1FE4051E"/>
    <w:rsid w:val="1FF3524B"/>
    <w:rsid w:val="1FFC4E7E"/>
    <w:rsid w:val="1FFF0C04"/>
    <w:rsid w:val="2013647E"/>
    <w:rsid w:val="20413F76"/>
    <w:rsid w:val="20471969"/>
    <w:rsid w:val="208A7484"/>
    <w:rsid w:val="20A03C4C"/>
    <w:rsid w:val="20BE37EC"/>
    <w:rsid w:val="20C52024"/>
    <w:rsid w:val="20C76A3F"/>
    <w:rsid w:val="20D93EB4"/>
    <w:rsid w:val="20DC0E35"/>
    <w:rsid w:val="20E25F34"/>
    <w:rsid w:val="20F73E7A"/>
    <w:rsid w:val="21056955"/>
    <w:rsid w:val="21060C57"/>
    <w:rsid w:val="210814BD"/>
    <w:rsid w:val="211925D1"/>
    <w:rsid w:val="211B1C44"/>
    <w:rsid w:val="21217AB0"/>
    <w:rsid w:val="213857FB"/>
    <w:rsid w:val="213949CE"/>
    <w:rsid w:val="213D1CF0"/>
    <w:rsid w:val="21496F76"/>
    <w:rsid w:val="21583373"/>
    <w:rsid w:val="215D7902"/>
    <w:rsid w:val="216155F2"/>
    <w:rsid w:val="216A535F"/>
    <w:rsid w:val="217652A4"/>
    <w:rsid w:val="21B52697"/>
    <w:rsid w:val="21CF5709"/>
    <w:rsid w:val="21E35BAC"/>
    <w:rsid w:val="21E81296"/>
    <w:rsid w:val="21F03386"/>
    <w:rsid w:val="2201386E"/>
    <w:rsid w:val="22165309"/>
    <w:rsid w:val="222534D9"/>
    <w:rsid w:val="222A02A6"/>
    <w:rsid w:val="222B77FB"/>
    <w:rsid w:val="223A7F54"/>
    <w:rsid w:val="223E6679"/>
    <w:rsid w:val="225D36A3"/>
    <w:rsid w:val="225D56A5"/>
    <w:rsid w:val="22730931"/>
    <w:rsid w:val="22B162A8"/>
    <w:rsid w:val="22D77A84"/>
    <w:rsid w:val="22DF0ACB"/>
    <w:rsid w:val="22EA6240"/>
    <w:rsid w:val="22F559CB"/>
    <w:rsid w:val="22FB62BB"/>
    <w:rsid w:val="23076975"/>
    <w:rsid w:val="230D0CA9"/>
    <w:rsid w:val="23316E72"/>
    <w:rsid w:val="237003EC"/>
    <w:rsid w:val="237D3E52"/>
    <w:rsid w:val="2397484C"/>
    <w:rsid w:val="23A4752D"/>
    <w:rsid w:val="23B00D6A"/>
    <w:rsid w:val="23B94201"/>
    <w:rsid w:val="23BC0290"/>
    <w:rsid w:val="23EE6CAD"/>
    <w:rsid w:val="23F66A4B"/>
    <w:rsid w:val="23FA1144"/>
    <w:rsid w:val="23FE7658"/>
    <w:rsid w:val="240226AF"/>
    <w:rsid w:val="24127C2F"/>
    <w:rsid w:val="241A7326"/>
    <w:rsid w:val="241F44B8"/>
    <w:rsid w:val="243A63CC"/>
    <w:rsid w:val="245915FA"/>
    <w:rsid w:val="24676249"/>
    <w:rsid w:val="24676D14"/>
    <w:rsid w:val="247828DD"/>
    <w:rsid w:val="24827F4D"/>
    <w:rsid w:val="2487058A"/>
    <w:rsid w:val="24B7657F"/>
    <w:rsid w:val="24BC5178"/>
    <w:rsid w:val="24CF0E1D"/>
    <w:rsid w:val="24EF6DCC"/>
    <w:rsid w:val="24FE2DD7"/>
    <w:rsid w:val="25014FF5"/>
    <w:rsid w:val="250C4FB1"/>
    <w:rsid w:val="25137596"/>
    <w:rsid w:val="25173886"/>
    <w:rsid w:val="25613B09"/>
    <w:rsid w:val="25657F74"/>
    <w:rsid w:val="25693990"/>
    <w:rsid w:val="25780BA1"/>
    <w:rsid w:val="25781413"/>
    <w:rsid w:val="258C67E3"/>
    <w:rsid w:val="259C3BD6"/>
    <w:rsid w:val="25A9124E"/>
    <w:rsid w:val="25B3303B"/>
    <w:rsid w:val="25B75112"/>
    <w:rsid w:val="25CB51F9"/>
    <w:rsid w:val="25CF6B44"/>
    <w:rsid w:val="25DF55FA"/>
    <w:rsid w:val="25EB7C4A"/>
    <w:rsid w:val="25FB14B5"/>
    <w:rsid w:val="25FF063A"/>
    <w:rsid w:val="26000457"/>
    <w:rsid w:val="26006386"/>
    <w:rsid w:val="260E4E8E"/>
    <w:rsid w:val="26117DEA"/>
    <w:rsid w:val="262B30BD"/>
    <w:rsid w:val="26333491"/>
    <w:rsid w:val="2638408D"/>
    <w:rsid w:val="263871B4"/>
    <w:rsid w:val="2650495F"/>
    <w:rsid w:val="26585FA4"/>
    <w:rsid w:val="265D0033"/>
    <w:rsid w:val="26666463"/>
    <w:rsid w:val="26A25D75"/>
    <w:rsid w:val="26A80804"/>
    <w:rsid w:val="26AC70E3"/>
    <w:rsid w:val="26B14E93"/>
    <w:rsid w:val="26C148AF"/>
    <w:rsid w:val="26D66603"/>
    <w:rsid w:val="26EA788C"/>
    <w:rsid w:val="26F27122"/>
    <w:rsid w:val="26F41BA0"/>
    <w:rsid w:val="26F9130D"/>
    <w:rsid w:val="270A0751"/>
    <w:rsid w:val="27152FBD"/>
    <w:rsid w:val="271C18E5"/>
    <w:rsid w:val="272B30C8"/>
    <w:rsid w:val="273361B8"/>
    <w:rsid w:val="27452CBA"/>
    <w:rsid w:val="275048BB"/>
    <w:rsid w:val="2750742D"/>
    <w:rsid w:val="27521CD7"/>
    <w:rsid w:val="27651A3F"/>
    <w:rsid w:val="27683BC6"/>
    <w:rsid w:val="276F4CB5"/>
    <w:rsid w:val="27716687"/>
    <w:rsid w:val="279445FE"/>
    <w:rsid w:val="27965F66"/>
    <w:rsid w:val="279B0EA7"/>
    <w:rsid w:val="27AE1389"/>
    <w:rsid w:val="27B16E5E"/>
    <w:rsid w:val="27C20787"/>
    <w:rsid w:val="27C23337"/>
    <w:rsid w:val="27D6379B"/>
    <w:rsid w:val="280C4A91"/>
    <w:rsid w:val="28133675"/>
    <w:rsid w:val="28190C28"/>
    <w:rsid w:val="284F5109"/>
    <w:rsid w:val="285C03C8"/>
    <w:rsid w:val="2861609C"/>
    <w:rsid w:val="2886055D"/>
    <w:rsid w:val="28882247"/>
    <w:rsid w:val="288F5316"/>
    <w:rsid w:val="289A1F85"/>
    <w:rsid w:val="289D7136"/>
    <w:rsid w:val="28A45C90"/>
    <w:rsid w:val="28BC53ED"/>
    <w:rsid w:val="28BE0AB9"/>
    <w:rsid w:val="28E73848"/>
    <w:rsid w:val="28E86BCC"/>
    <w:rsid w:val="29001627"/>
    <w:rsid w:val="29014A6C"/>
    <w:rsid w:val="2912545C"/>
    <w:rsid w:val="294E4813"/>
    <w:rsid w:val="297B7743"/>
    <w:rsid w:val="298C1740"/>
    <w:rsid w:val="29935765"/>
    <w:rsid w:val="299D32ED"/>
    <w:rsid w:val="29B72649"/>
    <w:rsid w:val="29BD5A56"/>
    <w:rsid w:val="29DE5E44"/>
    <w:rsid w:val="29E93B70"/>
    <w:rsid w:val="29EF3C6E"/>
    <w:rsid w:val="29F02B67"/>
    <w:rsid w:val="29F163C9"/>
    <w:rsid w:val="29F27A4D"/>
    <w:rsid w:val="2A0076A2"/>
    <w:rsid w:val="2A056D74"/>
    <w:rsid w:val="2A1D0F2C"/>
    <w:rsid w:val="2A1E295D"/>
    <w:rsid w:val="2A20533E"/>
    <w:rsid w:val="2A2B636C"/>
    <w:rsid w:val="2A2D0F48"/>
    <w:rsid w:val="2A341DBD"/>
    <w:rsid w:val="2A4F41EA"/>
    <w:rsid w:val="2A525F6A"/>
    <w:rsid w:val="2A7D1ED8"/>
    <w:rsid w:val="2A892390"/>
    <w:rsid w:val="2ACC16C4"/>
    <w:rsid w:val="2AD974F9"/>
    <w:rsid w:val="2AEE0E6F"/>
    <w:rsid w:val="2B2F3E7D"/>
    <w:rsid w:val="2B33015E"/>
    <w:rsid w:val="2B362880"/>
    <w:rsid w:val="2B3753E7"/>
    <w:rsid w:val="2B4D6BE7"/>
    <w:rsid w:val="2B522C5A"/>
    <w:rsid w:val="2B656049"/>
    <w:rsid w:val="2B6D6584"/>
    <w:rsid w:val="2B775D53"/>
    <w:rsid w:val="2B7A0FC0"/>
    <w:rsid w:val="2B8B1908"/>
    <w:rsid w:val="2B98570B"/>
    <w:rsid w:val="2BC948AC"/>
    <w:rsid w:val="2BCE5CF1"/>
    <w:rsid w:val="2BFA6DF3"/>
    <w:rsid w:val="2BFC2056"/>
    <w:rsid w:val="2BFC6B17"/>
    <w:rsid w:val="2C125AC1"/>
    <w:rsid w:val="2C2C5201"/>
    <w:rsid w:val="2C3D2522"/>
    <w:rsid w:val="2C462CDE"/>
    <w:rsid w:val="2C4D0FDB"/>
    <w:rsid w:val="2C6A1B12"/>
    <w:rsid w:val="2C746BB7"/>
    <w:rsid w:val="2C7F0EFE"/>
    <w:rsid w:val="2C89579C"/>
    <w:rsid w:val="2C8B38EB"/>
    <w:rsid w:val="2C950AFD"/>
    <w:rsid w:val="2CC87124"/>
    <w:rsid w:val="2CC874C7"/>
    <w:rsid w:val="2CD0167A"/>
    <w:rsid w:val="2CE20FA6"/>
    <w:rsid w:val="2CF766E8"/>
    <w:rsid w:val="2D173C07"/>
    <w:rsid w:val="2D1830FA"/>
    <w:rsid w:val="2D325528"/>
    <w:rsid w:val="2D391DD0"/>
    <w:rsid w:val="2D3F136E"/>
    <w:rsid w:val="2D675B89"/>
    <w:rsid w:val="2D832FC6"/>
    <w:rsid w:val="2D8F3758"/>
    <w:rsid w:val="2D933B94"/>
    <w:rsid w:val="2D9E721F"/>
    <w:rsid w:val="2DAC584B"/>
    <w:rsid w:val="2DB734F4"/>
    <w:rsid w:val="2DC80615"/>
    <w:rsid w:val="2DD02CED"/>
    <w:rsid w:val="2DD80931"/>
    <w:rsid w:val="2DDE3DFE"/>
    <w:rsid w:val="2DEC092D"/>
    <w:rsid w:val="2E011446"/>
    <w:rsid w:val="2E051CB2"/>
    <w:rsid w:val="2E1E4B22"/>
    <w:rsid w:val="2E42415D"/>
    <w:rsid w:val="2E4E6B5F"/>
    <w:rsid w:val="2E5207BF"/>
    <w:rsid w:val="2E542B2E"/>
    <w:rsid w:val="2E5E18CE"/>
    <w:rsid w:val="2E625356"/>
    <w:rsid w:val="2E634298"/>
    <w:rsid w:val="2E653175"/>
    <w:rsid w:val="2E755F41"/>
    <w:rsid w:val="2E8C4181"/>
    <w:rsid w:val="2EDD4D9D"/>
    <w:rsid w:val="2EED0A26"/>
    <w:rsid w:val="2F164660"/>
    <w:rsid w:val="2F1D4ACC"/>
    <w:rsid w:val="2F3E36CD"/>
    <w:rsid w:val="2F4E055F"/>
    <w:rsid w:val="2F5C72D2"/>
    <w:rsid w:val="2F6312AD"/>
    <w:rsid w:val="2F661155"/>
    <w:rsid w:val="2F6A7DC8"/>
    <w:rsid w:val="2F7C04E8"/>
    <w:rsid w:val="2F926CA3"/>
    <w:rsid w:val="2F9A6A32"/>
    <w:rsid w:val="2FB34CD8"/>
    <w:rsid w:val="2FBD1965"/>
    <w:rsid w:val="2FCC1F59"/>
    <w:rsid w:val="2FE46FC0"/>
    <w:rsid w:val="300C4A49"/>
    <w:rsid w:val="302C5D99"/>
    <w:rsid w:val="30300F61"/>
    <w:rsid w:val="30316D8E"/>
    <w:rsid w:val="30420259"/>
    <w:rsid w:val="30571D16"/>
    <w:rsid w:val="305D1988"/>
    <w:rsid w:val="30751E02"/>
    <w:rsid w:val="30752866"/>
    <w:rsid w:val="3078173C"/>
    <w:rsid w:val="308A0545"/>
    <w:rsid w:val="309B5861"/>
    <w:rsid w:val="30A41163"/>
    <w:rsid w:val="30B00D19"/>
    <w:rsid w:val="30D22117"/>
    <w:rsid w:val="30D2231F"/>
    <w:rsid w:val="30EE062B"/>
    <w:rsid w:val="30F104A2"/>
    <w:rsid w:val="30F30B02"/>
    <w:rsid w:val="311E5564"/>
    <w:rsid w:val="31201F96"/>
    <w:rsid w:val="31214E22"/>
    <w:rsid w:val="312D4F18"/>
    <w:rsid w:val="31464ABB"/>
    <w:rsid w:val="31475477"/>
    <w:rsid w:val="314B4AB3"/>
    <w:rsid w:val="314D697E"/>
    <w:rsid w:val="315419A0"/>
    <w:rsid w:val="31566794"/>
    <w:rsid w:val="31631A89"/>
    <w:rsid w:val="31705FC1"/>
    <w:rsid w:val="317E523D"/>
    <w:rsid w:val="31AA66C2"/>
    <w:rsid w:val="31AB1D44"/>
    <w:rsid w:val="31AC018C"/>
    <w:rsid w:val="31B3264F"/>
    <w:rsid w:val="31CD28AE"/>
    <w:rsid w:val="31E85B72"/>
    <w:rsid w:val="31EF52F4"/>
    <w:rsid w:val="321E637E"/>
    <w:rsid w:val="32545167"/>
    <w:rsid w:val="32582D9C"/>
    <w:rsid w:val="325F5305"/>
    <w:rsid w:val="32674CFC"/>
    <w:rsid w:val="326B249C"/>
    <w:rsid w:val="328056F4"/>
    <w:rsid w:val="32884C4F"/>
    <w:rsid w:val="329C303B"/>
    <w:rsid w:val="329D207B"/>
    <w:rsid w:val="32A01A84"/>
    <w:rsid w:val="32A27442"/>
    <w:rsid w:val="32AB1428"/>
    <w:rsid w:val="32B67A1F"/>
    <w:rsid w:val="32B80A97"/>
    <w:rsid w:val="32CF79C9"/>
    <w:rsid w:val="32D2419C"/>
    <w:rsid w:val="32F31447"/>
    <w:rsid w:val="32FA7D8D"/>
    <w:rsid w:val="331401E2"/>
    <w:rsid w:val="333E5689"/>
    <w:rsid w:val="334868C9"/>
    <w:rsid w:val="334B4853"/>
    <w:rsid w:val="335A23A3"/>
    <w:rsid w:val="336B6595"/>
    <w:rsid w:val="33804447"/>
    <w:rsid w:val="338417B8"/>
    <w:rsid w:val="33862AA7"/>
    <w:rsid w:val="33AA1077"/>
    <w:rsid w:val="33B905B8"/>
    <w:rsid w:val="33C4659B"/>
    <w:rsid w:val="33D32485"/>
    <w:rsid w:val="33EF48E9"/>
    <w:rsid w:val="33F86E8F"/>
    <w:rsid w:val="33FA667F"/>
    <w:rsid w:val="341757FC"/>
    <w:rsid w:val="3441199B"/>
    <w:rsid w:val="345D5D60"/>
    <w:rsid w:val="34862EBD"/>
    <w:rsid w:val="348C6C89"/>
    <w:rsid w:val="349F24C9"/>
    <w:rsid w:val="34A25702"/>
    <w:rsid w:val="34A93E58"/>
    <w:rsid w:val="34AA4723"/>
    <w:rsid w:val="34AE45F7"/>
    <w:rsid w:val="34AF6D16"/>
    <w:rsid w:val="34CC3529"/>
    <w:rsid w:val="34CF3E2F"/>
    <w:rsid w:val="34D1702F"/>
    <w:rsid w:val="34DC7C9D"/>
    <w:rsid w:val="34F512E8"/>
    <w:rsid w:val="34F86D32"/>
    <w:rsid w:val="352128EB"/>
    <w:rsid w:val="352C2D4E"/>
    <w:rsid w:val="352C4603"/>
    <w:rsid w:val="353D61D5"/>
    <w:rsid w:val="35661288"/>
    <w:rsid w:val="356E6A33"/>
    <w:rsid w:val="35702107"/>
    <w:rsid w:val="35780266"/>
    <w:rsid w:val="358633A5"/>
    <w:rsid w:val="358828EF"/>
    <w:rsid w:val="359340CC"/>
    <w:rsid w:val="35CB1A33"/>
    <w:rsid w:val="35CC4273"/>
    <w:rsid w:val="360B2661"/>
    <w:rsid w:val="36147686"/>
    <w:rsid w:val="361C54F5"/>
    <w:rsid w:val="363D0D74"/>
    <w:rsid w:val="3640796A"/>
    <w:rsid w:val="36567D2D"/>
    <w:rsid w:val="36747CCD"/>
    <w:rsid w:val="36A64712"/>
    <w:rsid w:val="36AC3C2D"/>
    <w:rsid w:val="36B0142F"/>
    <w:rsid w:val="36B66BD2"/>
    <w:rsid w:val="36C77F87"/>
    <w:rsid w:val="3740081A"/>
    <w:rsid w:val="3740534F"/>
    <w:rsid w:val="375114F3"/>
    <w:rsid w:val="377D703A"/>
    <w:rsid w:val="377F1402"/>
    <w:rsid w:val="37833FF8"/>
    <w:rsid w:val="37B2123F"/>
    <w:rsid w:val="37CD082B"/>
    <w:rsid w:val="37CD0DE2"/>
    <w:rsid w:val="37EB07C3"/>
    <w:rsid w:val="37FD5024"/>
    <w:rsid w:val="38024A6D"/>
    <w:rsid w:val="382E2D74"/>
    <w:rsid w:val="38301367"/>
    <w:rsid w:val="383D3A59"/>
    <w:rsid w:val="38660B12"/>
    <w:rsid w:val="386A3BD9"/>
    <w:rsid w:val="38A2437A"/>
    <w:rsid w:val="38B463CC"/>
    <w:rsid w:val="38D41830"/>
    <w:rsid w:val="38DF07D6"/>
    <w:rsid w:val="38EA170C"/>
    <w:rsid w:val="38F50C2A"/>
    <w:rsid w:val="38F90373"/>
    <w:rsid w:val="3932285B"/>
    <w:rsid w:val="39363BA2"/>
    <w:rsid w:val="393A0AC1"/>
    <w:rsid w:val="39405416"/>
    <w:rsid w:val="3951308E"/>
    <w:rsid w:val="3969623D"/>
    <w:rsid w:val="396B50A4"/>
    <w:rsid w:val="3971469F"/>
    <w:rsid w:val="39835C07"/>
    <w:rsid w:val="398C7F8E"/>
    <w:rsid w:val="39961E0B"/>
    <w:rsid w:val="39B83C9B"/>
    <w:rsid w:val="39C14A39"/>
    <w:rsid w:val="39CF207C"/>
    <w:rsid w:val="39E660A1"/>
    <w:rsid w:val="39EE4B91"/>
    <w:rsid w:val="3A0372CF"/>
    <w:rsid w:val="3A0E1EEE"/>
    <w:rsid w:val="3A1258DF"/>
    <w:rsid w:val="3A16574C"/>
    <w:rsid w:val="3A2112ED"/>
    <w:rsid w:val="3A315CD4"/>
    <w:rsid w:val="3A3531B4"/>
    <w:rsid w:val="3A766CB2"/>
    <w:rsid w:val="3A7A432F"/>
    <w:rsid w:val="3A7C31FE"/>
    <w:rsid w:val="3A9419CD"/>
    <w:rsid w:val="3A992649"/>
    <w:rsid w:val="3AB32FB9"/>
    <w:rsid w:val="3AB42647"/>
    <w:rsid w:val="3AD44D61"/>
    <w:rsid w:val="3AD7292D"/>
    <w:rsid w:val="3ADD4884"/>
    <w:rsid w:val="3B0617EE"/>
    <w:rsid w:val="3B1922AD"/>
    <w:rsid w:val="3B245E6D"/>
    <w:rsid w:val="3B252C7E"/>
    <w:rsid w:val="3B2E4AB0"/>
    <w:rsid w:val="3B306DDF"/>
    <w:rsid w:val="3B3A644A"/>
    <w:rsid w:val="3B4D5F7A"/>
    <w:rsid w:val="3B5C1053"/>
    <w:rsid w:val="3B5F1A6B"/>
    <w:rsid w:val="3B6570CF"/>
    <w:rsid w:val="3B783FC6"/>
    <w:rsid w:val="3B8713FA"/>
    <w:rsid w:val="3B8F65BF"/>
    <w:rsid w:val="3B9523FB"/>
    <w:rsid w:val="3B986A61"/>
    <w:rsid w:val="3B986FAE"/>
    <w:rsid w:val="3B9B4D26"/>
    <w:rsid w:val="3BC9742A"/>
    <w:rsid w:val="3BE14825"/>
    <w:rsid w:val="3BFD2805"/>
    <w:rsid w:val="3BFE1C94"/>
    <w:rsid w:val="3C046489"/>
    <w:rsid w:val="3C0F793D"/>
    <w:rsid w:val="3C3323DC"/>
    <w:rsid w:val="3C435DB2"/>
    <w:rsid w:val="3C45105D"/>
    <w:rsid w:val="3C4842C8"/>
    <w:rsid w:val="3C4A4184"/>
    <w:rsid w:val="3C4C340B"/>
    <w:rsid w:val="3C5228D2"/>
    <w:rsid w:val="3C594CA6"/>
    <w:rsid w:val="3C9D43F5"/>
    <w:rsid w:val="3CAA750C"/>
    <w:rsid w:val="3CB17A41"/>
    <w:rsid w:val="3CB34F31"/>
    <w:rsid w:val="3CBD2BA7"/>
    <w:rsid w:val="3CBF73CD"/>
    <w:rsid w:val="3D0150E4"/>
    <w:rsid w:val="3D045694"/>
    <w:rsid w:val="3D1512E3"/>
    <w:rsid w:val="3D171B02"/>
    <w:rsid w:val="3D221248"/>
    <w:rsid w:val="3D3B791C"/>
    <w:rsid w:val="3D4026F0"/>
    <w:rsid w:val="3D607487"/>
    <w:rsid w:val="3D74650C"/>
    <w:rsid w:val="3D765F1B"/>
    <w:rsid w:val="3D8A4E3B"/>
    <w:rsid w:val="3DAD7297"/>
    <w:rsid w:val="3DB5522E"/>
    <w:rsid w:val="3DD64712"/>
    <w:rsid w:val="3DDD5B9E"/>
    <w:rsid w:val="3DE1399E"/>
    <w:rsid w:val="3E06469E"/>
    <w:rsid w:val="3E07494C"/>
    <w:rsid w:val="3E743D29"/>
    <w:rsid w:val="3E7A1C38"/>
    <w:rsid w:val="3E8E045D"/>
    <w:rsid w:val="3EA51073"/>
    <w:rsid w:val="3EC336F5"/>
    <w:rsid w:val="3EC8429A"/>
    <w:rsid w:val="3EE871B2"/>
    <w:rsid w:val="3EF212D0"/>
    <w:rsid w:val="3F3A5855"/>
    <w:rsid w:val="3F4941AE"/>
    <w:rsid w:val="3F5B2FCC"/>
    <w:rsid w:val="3F6C1AE4"/>
    <w:rsid w:val="3F70086D"/>
    <w:rsid w:val="3F735490"/>
    <w:rsid w:val="3F782D0C"/>
    <w:rsid w:val="3F7A38DB"/>
    <w:rsid w:val="3F7F6702"/>
    <w:rsid w:val="3F842831"/>
    <w:rsid w:val="3F8A23CE"/>
    <w:rsid w:val="3FC367E1"/>
    <w:rsid w:val="3FDF51E9"/>
    <w:rsid w:val="3FE01580"/>
    <w:rsid w:val="3FF324CA"/>
    <w:rsid w:val="3FF75173"/>
    <w:rsid w:val="400602D1"/>
    <w:rsid w:val="403B1563"/>
    <w:rsid w:val="403C5A14"/>
    <w:rsid w:val="40401D3C"/>
    <w:rsid w:val="40782D79"/>
    <w:rsid w:val="40843B48"/>
    <w:rsid w:val="40A82730"/>
    <w:rsid w:val="40AB7B52"/>
    <w:rsid w:val="40AF7FC9"/>
    <w:rsid w:val="40B93799"/>
    <w:rsid w:val="40C31B6F"/>
    <w:rsid w:val="40D11CAA"/>
    <w:rsid w:val="40D64B0A"/>
    <w:rsid w:val="40E52C95"/>
    <w:rsid w:val="40EA37C7"/>
    <w:rsid w:val="40F15F79"/>
    <w:rsid w:val="40F72F22"/>
    <w:rsid w:val="40FA59F7"/>
    <w:rsid w:val="40FD4370"/>
    <w:rsid w:val="40FF70C8"/>
    <w:rsid w:val="41244B93"/>
    <w:rsid w:val="41410BFE"/>
    <w:rsid w:val="41484E19"/>
    <w:rsid w:val="416334BA"/>
    <w:rsid w:val="416C724E"/>
    <w:rsid w:val="417754F2"/>
    <w:rsid w:val="417D7628"/>
    <w:rsid w:val="41955A84"/>
    <w:rsid w:val="41BA2089"/>
    <w:rsid w:val="41C44C07"/>
    <w:rsid w:val="41E347C6"/>
    <w:rsid w:val="41F439F0"/>
    <w:rsid w:val="41F45B50"/>
    <w:rsid w:val="41F86204"/>
    <w:rsid w:val="41FC60EE"/>
    <w:rsid w:val="420460B1"/>
    <w:rsid w:val="420478DF"/>
    <w:rsid w:val="4215369B"/>
    <w:rsid w:val="42586753"/>
    <w:rsid w:val="42701998"/>
    <w:rsid w:val="42734FE4"/>
    <w:rsid w:val="42756E10"/>
    <w:rsid w:val="42812B17"/>
    <w:rsid w:val="42902F4D"/>
    <w:rsid w:val="429B0202"/>
    <w:rsid w:val="42A72802"/>
    <w:rsid w:val="42A90E6A"/>
    <w:rsid w:val="42AA657B"/>
    <w:rsid w:val="42BF3AA0"/>
    <w:rsid w:val="42CB0B1F"/>
    <w:rsid w:val="42D82A0C"/>
    <w:rsid w:val="42DA5063"/>
    <w:rsid w:val="42DD3809"/>
    <w:rsid w:val="42E31F6B"/>
    <w:rsid w:val="42EE595D"/>
    <w:rsid w:val="42F1794D"/>
    <w:rsid w:val="436C2724"/>
    <w:rsid w:val="437939B0"/>
    <w:rsid w:val="437A1E69"/>
    <w:rsid w:val="43843F8D"/>
    <w:rsid w:val="43CC2EDD"/>
    <w:rsid w:val="440E6F78"/>
    <w:rsid w:val="444B3B85"/>
    <w:rsid w:val="44533DDD"/>
    <w:rsid w:val="445B7791"/>
    <w:rsid w:val="449766D0"/>
    <w:rsid w:val="449E253F"/>
    <w:rsid w:val="44AF0F46"/>
    <w:rsid w:val="44BE76D5"/>
    <w:rsid w:val="44C62613"/>
    <w:rsid w:val="44CA0FD4"/>
    <w:rsid w:val="44CA1A70"/>
    <w:rsid w:val="44CC70CB"/>
    <w:rsid w:val="44D947AC"/>
    <w:rsid w:val="44DB5E14"/>
    <w:rsid w:val="44EE7CC6"/>
    <w:rsid w:val="44F01715"/>
    <w:rsid w:val="4504785F"/>
    <w:rsid w:val="4521341D"/>
    <w:rsid w:val="454F3321"/>
    <w:rsid w:val="45637A7C"/>
    <w:rsid w:val="457825C6"/>
    <w:rsid w:val="45970E5C"/>
    <w:rsid w:val="459B3D5A"/>
    <w:rsid w:val="45B44E9B"/>
    <w:rsid w:val="45C85306"/>
    <w:rsid w:val="45D35D7B"/>
    <w:rsid w:val="45E27DE3"/>
    <w:rsid w:val="45E45C70"/>
    <w:rsid w:val="45EC50E4"/>
    <w:rsid w:val="4602227A"/>
    <w:rsid w:val="46065087"/>
    <w:rsid w:val="460C07BB"/>
    <w:rsid w:val="46256152"/>
    <w:rsid w:val="4641548B"/>
    <w:rsid w:val="46523DAD"/>
    <w:rsid w:val="465C7AA0"/>
    <w:rsid w:val="465D3F9B"/>
    <w:rsid w:val="4661388D"/>
    <w:rsid w:val="4662784A"/>
    <w:rsid w:val="46655DFD"/>
    <w:rsid w:val="46661962"/>
    <w:rsid w:val="46677394"/>
    <w:rsid w:val="46724CDE"/>
    <w:rsid w:val="46732823"/>
    <w:rsid w:val="468B3B36"/>
    <w:rsid w:val="4692145D"/>
    <w:rsid w:val="46A201BB"/>
    <w:rsid w:val="46AB48BC"/>
    <w:rsid w:val="46BE3C32"/>
    <w:rsid w:val="46BF02B9"/>
    <w:rsid w:val="46DB1333"/>
    <w:rsid w:val="46DE0B66"/>
    <w:rsid w:val="46E7597A"/>
    <w:rsid w:val="46E94E44"/>
    <w:rsid w:val="46FF7EF3"/>
    <w:rsid w:val="470C3DE9"/>
    <w:rsid w:val="470E2E81"/>
    <w:rsid w:val="47120ADA"/>
    <w:rsid w:val="47470385"/>
    <w:rsid w:val="474A276A"/>
    <w:rsid w:val="475A0477"/>
    <w:rsid w:val="475D2C83"/>
    <w:rsid w:val="47621D4A"/>
    <w:rsid w:val="47755017"/>
    <w:rsid w:val="4789529D"/>
    <w:rsid w:val="47921AD1"/>
    <w:rsid w:val="479C3C6A"/>
    <w:rsid w:val="47A808B6"/>
    <w:rsid w:val="47AA502D"/>
    <w:rsid w:val="47CB5123"/>
    <w:rsid w:val="47E23D6B"/>
    <w:rsid w:val="47E554B7"/>
    <w:rsid w:val="47F376F8"/>
    <w:rsid w:val="47F63AE6"/>
    <w:rsid w:val="481112D5"/>
    <w:rsid w:val="481211E5"/>
    <w:rsid w:val="481E23D4"/>
    <w:rsid w:val="48280889"/>
    <w:rsid w:val="48420135"/>
    <w:rsid w:val="485A0F31"/>
    <w:rsid w:val="48654DE0"/>
    <w:rsid w:val="486C0E47"/>
    <w:rsid w:val="48851377"/>
    <w:rsid w:val="488548C1"/>
    <w:rsid w:val="488876AD"/>
    <w:rsid w:val="489357B4"/>
    <w:rsid w:val="48A10AA1"/>
    <w:rsid w:val="48A251EF"/>
    <w:rsid w:val="48A76903"/>
    <w:rsid w:val="48B90738"/>
    <w:rsid w:val="48BD37FC"/>
    <w:rsid w:val="48DD58AD"/>
    <w:rsid w:val="49105CA1"/>
    <w:rsid w:val="491346EC"/>
    <w:rsid w:val="491A5D39"/>
    <w:rsid w:val="49275EC9"/>
    <w:rsid w:val="496A590F"/>
    <w:rsid w:val="496B4B93"/>
    <w:rsid w:val="4976427A"/>
    <w:rsid w:val="49846CA9"/>
    <w:rsid w:val="49A4166E"/>
    <w:rsid w:val="49AB389B"/>
    <w:rsid w:val="49B31DE8"/>
    <w:rsid w:val="49BC178D"/>
    <w:rsid w:val="49CA39D0"/>
    <w:rsid w:val="49D568D5"/>
    <w:rsid w:val="49E21ACD"/>
    <w:rsid w:val="49E30672"/>
    <w:rsid w:val="49E837DA"/>
    <w:rsid w:val="49EE411C"/>
    <w:rsid w:val="49FB7E73"/>
    <w:rsid w:val="4A041A44"/>
    <w:rsid w:val="4A0D4DC1"/>
    <w:rsid w:val="4A185F44"/>
    <w:rsid w:val="4A3A6847"/>
    <w:rsid w:val="4A3B2664"/>
    <w:rsid w:val="4A511785"/>
    <w:rsid w:val="4A842484"/>
    <w:rsid w:val="4A8943FB"/>
    <w:rsid w:val="4A8C1382"/>
    <w:rsid w:val="4A9726B6"/>
    <w:rsid w:val="4AA54FF1"/>
    <w:rsid w:val="4AA87649"/>
    <w:rsid w:val="4AB20EDC"/>
    <w:rsid w:val="4AC91896"/>
    <w:rsid w:val="4AE33C6A"/>
    <w:rsid w:val="4AEA400B"/>
    <w:rsid w:val="4B102E41"/>
    <w:rsid w:val="4B20416E"/>
    <w:rsid w:val="4B2C0F12"/>
    <w:rsid w:val="4B366410"/>
    <w:rsid w:val="4B4C689E"/>
    <w:rsid w:val="4B6B6036"/>
    <w:rsid w:val="4B852535"/>
    <w:rsid w:val="4B87455D"/>
    <w:rsid w:val="4B9A5210"/>
    <w:rsid w:val="4BAC79AC"/>
    <w:rsid w:val="4BB0302E"/>
    <w:rsid w:val="4BB641A6"/>
    <w:rsid w:val="4BE81CC3"/>
    <w:rsid w:val="4BED6AB1"/>
    <w:rsid w:val="4BF34603"/>
    <w:rsid w:val="4BF76C86"/>
    <w:rsid w:val="4BFB7596"/>
    <w:rsid w:val="4BFF3784"/>
    <w:rsid w:val="4C144C8E"/>
    <w:rsid w:val="4C163213"/>
    <w:rsid w:val="4C1733F5"/>
    <w:rsid w:val="4C176376"/>
    <w:rsid w:val="4C1A4723"/>
    <w:rsid w:val="4C745DF3"/>
    <w:rsid w:val="4C977370"/>
    <w:rsid w:val="4CA13387"/>
    <w:rsid w:val="4CA94424"/>
    <w:rsid w:val="4CC55C2C"/>
    <w:rsid w:val="4CD15671"/>
    <w:rsid w:val="4CD317FA"/>
    <w:rsid w:val="4CD64AED"/>
    <w:rsid w:val="4CDB65A8"/>
    <w:rsid w:val="4CDE5264"/>
    <w:rsid w:val="4CE53421"/>
    <w:rsid w:val="4CF2580F"/>
    <w:rsid w:val="4D1C73DF"/>
    <w:rsid w:val="4D243AAB"/>
    <w:rsid w:val="4D2B02FB"/>
    <w:rsid w:val="4D354E86"/>
    <w:rsid w:val="4D4059C7"/>
    <w:rsid w:val="4D427FBF"/>
    <w:rsid w:val="4D4744CA"/>
    <w:rsid w:val="4D4D5502"/>
    <w:rsid w:val="4D596F46"/>
    <w:rsid w:val="4D812CAB"/>
    <w:rsid w:val="4D9A1158"/>
    <w:rsid w:val="4DEE3159"/>
    <w:rsid w:val="4E0C11F8"/>
    <w:rsid w:val="4E154D75"/>
    <w:rsid w:val="4E510F11"/>
    <w:rsid w:val="4E6E1B50"/>
    <w:rsid w:val="4E8765E9"/>
    <w:rsid w:val="4E940570"/>
    <w:rsid w:val="4EA1272E"/>
    <w:rsid w:val="4EB2452C"/>
    <w:rsid w:val="4EBB2A44"/>
    <w:rsid w:val="4ED35B9A"/>
    <w:rsid w:val="4ED7722A"/>
    <w:rsid w:val="4EE663FC"/>
    <w:rsid w:val="4EE72FE2"/>
    <w:rsid w:val="4F0C4BBE"/>
    <w:rsid w:val="4F2F291D"/>
    <w:rsid w:val="4F355EA0"/>
    <w:rsid w:val="4F4E1CD3"/>
    <w:rsid w:val="4F53207B"/>
    <w:rsid w:val="4FAF0FE9"/>
    <w:rsid w:val="4FB94863"/>
    <w:rsid w:val="4FBD58DB"/>
    <w:rsid w:val="4FD23483"/>
    <w:rsid w:val="4FD32ACB"/>
    <w:rsid w:val="4FE814D8"/>
    <w:rsid w:val="4FEB4D54"/>
    <w:rsid w:val="4FF74123"/>
    <w:rsid w:val="50001844"/>
    <w:rsid w:val="50007667"/>
    <w:rsid w:val="50221907"/>
    <w:rsid w:val="5028201D"/>
    <w:rsid w:val="502A1DB7"/>
    <w:rsid w:val="502B6625"/>
    <w:rsid w:val="502C1496"/>
    <w:rsid w:val="50454426"/>
    <w:rsid w:val="504D0962"/>
    <w:rsid w:val="5069161A"/>
    <w:rsid w:val="508E68B1"/>
    <w:rsid w:val="509E117A"/>
    <w:rsid w:val="50AA52DF"/>
    <w:rsid w:val="50AF53BC"/>
    <w:rsid w:val="50BC7EF4"/>
    <w:rsid w:val="50BF1F7B"/>
    <w:rsid w:val="50CB0003"/>
    <w:rsid w:val="50D55EE9"/>
    <w:rsid w:val="50F90CA8"/>
    <w:rsid w:val="51064D2C"/>
    <w:rsid w:val="510663F7"/>
    <w:rsid w:val="51316796"/>
    <w:rsid w:val="514B4A24"/>
    <w:rsid w:val="516F20A9"/>
    <w:rsid w:val="51836B87"/>
    <w:rsid w:val="51885694"/>
    <w:rsid w:val="519A433C"/>
    <w:rsid w:val="519E3C53"/>
    <w:rsid w:val="51AC4DA2"/>
    <w:rsid w:val="51C22B85"/>
    <w:rsid w:val="51DA3551"/>
    <w:rsid w:val="51EB2DE9"/>
    <w:rsid w:val="52063179"/>
    <w:rsid w:val="52092C24"/>
    <w:rsid w:val="520B348B"/>
    <w:rsid w:val="520F3BF8"/>
    <w:rsid w:val="52121B92"/>
    <w:rsid w:val="52352048"/>
    <w:rsid w:val="523A0D74"/>
    <w:rsid w:val="527333BA"/>
    <w:rsid w:val="527474BC"/>
    <w:rsid w:val="5288448D"/>
    <w:rsid w:val="528D58F7"/>
    <w:rsid w:val="52AA4370"/>
    <w:rsid w:val="52C50832"/>
    <w:rsid w:val="52CB1A88"/>
    <w:rsid w:val="52D25041"/>
    <w:rsid w:val="52E0398B"/>
    <w:rsid w:val="52F46DF1"/>
    <w:rsid w:val="53156D61"/>
    <w:rsid w:val="531D0D19"/>
    <w:rsid w:val="53514ECE"/>
    <w:rsid w:val="53623359"/>
    <w:rsid w:val="537523C8"/>
    <w:rsid w:val="539644CE"/>
    <w:rsid w:val="53A10423"/>
    <w:rsid w:val="53AC5691"/>
    <w:rsid w:val="53B11E7F"/>
    <w:rsid w:val="53C26957"/>
    <w:rsid w:val="53D80BF3"/>
    <w:rsid w:val="53E044DD"/>
    <w:rsid w:val="53FD3BB0"/>
    <w:rsid w:val="541A199E"/>
    <w:rsid w:val="541D4A8B"/>
    <w:rsid w:val="542212AE"/>
    <w:rsid w:val="54292CE1"/>
    <w:rsid w:val="54406809"/>
    <w:rsid w:val="544D2F90"/>
    <w:rsid w:val="544E7853"/>
    <w:rsid w:val="54571517"/>
    <w:rsid w:val="545D392F"/>
    <w:rsid w:val="54643181"/>
    <w:rsid w:val="54815AC4"/>
    <w:rsid w:val="54837427"/>
    <w:rsid w:val="54866F2F"/>
    <w:rsid w:val="54882FB4"/>
    <w:rsid w:val="549E6DBE"/>
    <w:rsid w:val="54A13CB4"/>
    <w:rsid w:val="54D555AD"/>
    <w:rsid w:val="550073FE"/>
    <w:rsid w:val="550B525A"/>
    <w:rsid w:val="55241394"/>
    <w:rsid w:val="5524203E"/>
    <w:rsid w:val="553718AB"/>
    <w:rsid w:val="556337B1"/>
    <w:rsid w:val="557C6D58"/>
    <w:rsid w:val="55923983"/>
    <w:rsid w:val="55AA07B1"/>
    <w:rsid w:val="55AB56A6"/>
    <w:rsid w:val="55C81262"/>
    <w:rsid w:val="55CE3678"/>
    <w:rsid w:val="55CE625B"/>
    <w:rsid w:val="55E17D43"/>
    <w:rsid w:val="55F46959"/>
    <w:rsid w:val="56186B15"/>
    <w:rsid w:val="562D6BA2"/>
    <w:rsid w:val="563D5133"/>
    <w:rsid w:val="565133BC"/>
    <w:rsid w:val="566E7EBE"/>
    <w:rsid w:val="567E5E10"/>
    <w:rsid w:val="56953C81"/>
    <w:rsid w:val="56A30DE2"/>
    <w:rsid w:val="56A45EDD"/>
    <w:rsid w:val="56D937A3"/>
    <w:rsid w:val="56F76BC2"/>
    <w:rsid w:val="570A68AD"/>
    <w:rsid w:val="570A6BBE"/>
    <w:rsid w:val="570E2A1D"/>
    <w:rsid w:val="57450A91"/>
    <w:rsid w:val="5755127F"/>
    <w:rsid w:val="57613B23"/>
    <w:rsid w:val="57691EE7"/>
    <w:rsid w:val="576A3703"/>
    <w:rsid w:val="576B2432"/>
    <w:rsid w:val="576D7BFF"/>
    <w:rsid w:val="576F04B9"/>
    <w:rsid w:val="577B3298"/>
    <w:rsid w:val="57895D50"/>
    <w:rsid w:val="578C0BCA"/>
    <w:rsid w:val="578F73D6"/>
    <w:rsid w:val="57B90A7D"/>
    <w:rsid w:val="57C31638"/>
    <w:rsid w:val="57E275D9"/>
    <w:rsid w:val="57EF0F15"/>
    <w:rsid w:val="57F329F7"/>
    <w:rsid w:val="57F45BFA"/>
    <w:rsid w:val="57F976E6"/>
    <w:rsid w:val="57FC18E7"/>
    <w:rsid w:val="58030D25"/>
    <w:rsid w:val="58370F17"/>
    <w:rsid w:val="58472857"/>
    <w:rsid w:val="5863031B"/>
    <w:rsid w:val="58673F2D"/>
    <w:rsid w:val="586A4CD9"/>
    <w:rsid w:val="58737AFF"/>
    <w:rsid w:val="58840211"/>
    <w:rsid w:val="589D0194"/>
    <w:rsid w:val="589E6DFC"/>
    <w:rsid w:val="58C950BB"/>
    <w:rsid w:val="58CF213E"/>
    <w:rsid w:val="59063D58"/>
    <w:rsid w:val="59142C25"/>
    <w:rsid w:val="59150DCD"/>
    <w:rsid w:val="59173C2A"/>
    <w:rsid w:val="593D3B91"/>
    <w:rsid w:val="59480B21"/>
    <w:rsid w:val="5977782A"/>
    <w:rsid w:val="59830142"/>
    <w:rsid w:val="598669F4"/>
    <w:rsid w:val="598A57FB"/>
    <w:rsid w:val="59AD59F6"/>
    <w:rsid w:val="59B759DF"/>
    <w:rsid w:val="59BC03E5"/>
    <w:rsid w:val="59DF0460"/>
    <w:rsid w:val="59E14C1A"/>
    <w:rsid w:val="5A0312A5"/>
    <w:rsid w:val="5A232A39"/>
    <w:rsid w:val="5A2734FC"/>
    <w:rsid w:val="5A5A4F2A"/>
    <w:rsid w:val="5A795CEF"/>
    <w:rsid w:val="5A8B33BB"/>
    <w:rsid w:val="5A901B1E"/>
    <w:rsid w:val="5AAF7D5E"/>
    <w:rsid w:val="5ACD66E9"/>
    <w:rsid w:val="5ACE32A8"/>
    <w:rsid w:val="5AE101F0"/>
    <w:rsid w:val="5AE84B03"/>
    <w:rsid w:val="5AF4270A"/>
    <w:rsid w:val="5AF535F9"/>
    <w:rsid w:val="5B0A33E0"/>
    <w:rsid w:val="5B1D428B"/>
    <w:rsid w:val="5B2429E0"/>
    <w:rsid w:val="5B42111B"/>
    <w:rsid w:val="5B651616"/>
    <w:rsid w:val="5B955CFF"/>
    <w:rsid w:val="5BA72A42"/>
    <w:rsid w:val="5BA93B19"/>
    <w:rsid w:val="5BEB2B1A"/>
    <w:rsid w:val="5BF02F1D"/>
    <w:rsid w:val="5BF331F4"/>
    <w:rsid w:val="5BF5410C"/>
    <w:rsid w:val="5C04781F"/>
    <w:rsid w:val="5C143ADB"/>
    <w:rsid w:val="5C2667B6"/>
    <w:rsid w:val="5C294CBF"/>
    <w:rsid w:val="5C542CF2"/>
    <w:rsid w:val="5C6262F9"/>
    <w:rsid w:val="5C635349"/>
    <w:rsid w:val="5C713E26"/>
    <w:rsid w:val="5C787F2D"/>
    <w:rsid w:val="5CB11DB7"/>
    <w:rsid w:val="5CBB7571"/>
    <w:rsid w:val="5D0275EF"/>
    <w:rsid w:val="5D050471"/>
    <w:rsid w:val="5D2613B6"/>
    <w:rsid w:val="5D2C79A1"/>
    <w:rsid w:val="5D3623E8"/>
    <w:rsid w:val="5D5E1410"/>
    <w:rsid w:val="5D66077B"/>
    <w:rsid w:val="5D6A7539"/>
    <w:rsid w:val="5D7D128D"/>
    <w:rsid w:val="5D7D5B49"/>
    <w:rsid w:val="5D7F4C3C"/>
    <w:rsid w:val="5D875594"/>
    <w:rsid w:val="5DB962BC"/>
    <w:rsid w:val="5DBA3624"/>
    <w:rsid w:val="5DC84072"/>
    <w:rsid w:val="5DCE6A21"/>
    <w:rsid w:val="5E0A6E28"/>
    <w:rsid w:val="5E187196"/>
    <w:rsid w:val="5E1D0793"/>
    <w:rsid w:val="5E295CBA"/>
    <w:rsid w:val="5E2A4D70"/>
    <w:rsid w:val="5E5D3292"/>
    <w:rsid w:val="5E636833"/>
    <w:rsid w:val="5E655CD1"/>
    <w:rsid w:val="5E7D7CD0"/>
    <w:rsid w:val="5E8560E2"/>
    <w:rsid w:val="5E876FA7"/>
    <w:rsid w:val="5E930A90"/>
    <w:rsid w:val="5E9C0F0D"/>
    <w:rsid w:val="5EC11A47"/>
    <w:rsid w:val="5ECC1972"/>
    <w:rsid w:val="5EDE2403"/>
    <w:rsid w:val="5EFA1EF5"/>
    <w:rsid w:val="5F0442A7"/>
    <w:rsid w:val="5F096771"/>
    <w:rsid w:val="5F377F62"/>
    <w:rsid w:val="5F3C168D"/>
    <w:rsid w:val="5F4B145F"/>
    <w:rsid w:val="5F514041"/>
    <w:rsid w:val="5F6B4BEF"/>
    <w:rsid w:val="5F6B7644"/>
    <w:rsid w:val="5F6F59EB"/>
    <w:rsid w:val="5F705903"/>
    <w:rsid w:val="5F73151B"/>
    <w:rsid w:val="5F8A63C5"/>
    <w:rsid w:val="5FB56287"/>
    <w:rsid w:val="5FD02862"/>
    <w:rsid w:val="5FD77B11"/>
    <w:rsid w:val="5FDC2963"/>
    <w:rsid w:val="5FED4BE5"/>
    <w:rsid w:val="601E25DC"/>
    <w:rsid w:val="60271EA6"/>
    <w:rsid w:val="604369D2"/>
    <w:rsid w:val="604A6763"/>
    <w:rsid w:val="60532D1E"/>
    <w:rsid w:val="606E331C"/>
    <w:rsid w:val="60917347"/>
    <w:rsid w:val="6098413C"/>
    <w:rsid w:val="60A2041E"/>
    <w:rsid w:val="60A36D88"/>
    <w:rsid w:val="60B11C38"/>
    <w:rsid w:val="60C108A7"/>
    <w:rsid w:val="60C96D29"/>
    <w:rsid w:val="60D54F32"/>
    <w:rsid w:val="60E66DAC"/>
    <w:rsid w:val="60EC33A3"/>
    <w:rsid w:val="60EF7633"/>
    <w:rsid w:val="61041B7E"/>
    <w:rsid w:val="610E43FE"/>
    <w:rsid w:val="611606DA"/>
    <w:rsid w:val="612E0525"/>
    <w:rsid w:val="6138361D"/>
    <w:rsid w:val="613B5825"/>
    <w:rsid w:val="615446C8"/>
    <w:rsid w:val="615817E3"/>
    <w:rsid w:val="615A7810"/>
    <w:rsid w:val="616B3B9D"/>
    <w:rsid w:val="61712ECF"/>
    <w:rsid w:val="617E3EA1"/>
    <w:rsid w:val="6182097B"/>
    <w:rsid w:val="61870A0B"/>
    <w:rsid w:val="619B4B8E"/>
    <w:rsid w:val="61B74811"/>
    <w:rsid w:val="61C9544B"/>
    <w:rsid w:val="61D2576E"/>
    <w:rsid w:val="61DD0FCE"/>
    <w:rsid w:val="61DD152F"/>
    <w:rsid w:val="61E12532"/>
    <w:rsid w:val="61E5686D"/>
    <w:rsid w:val="61EE2A36"/>
    <w:rsid w:val="61EE4F79"/>
    <w:rsid w:val="61F031EF"/>
    <w:rsid w:val="61F97273"/>
    <w:rsid w:val="621D57D9"/>
    <w:rsid w:val="62204091"/>
    <w:rsid w:val="62330E89"/>
    <w:rsid w:val="624C5709"/>
    <w:rsid w:val="62712AEB"/>
    <w:rsid w:val="627209BD"/>
    <w:rsid w:val="627848FD"/>
    <w:rsid w:val="627B5AC3"/>
    <w:rsid w:val="628600F8"/>
    <w:rsid w:val="62926B36"/>
    <w:rsid w:val="62A20346"/>
    <w:rsid w:val="62A57FC0"/>
    <w:rsid w:val="62AB5103"/>
    <w:rsid w:val="62BB5E0A"/>
    <w:rsid w:val="62D36B30"/>
    <w:rsid w:val="62D60F4C"/>
    <w:rsid w:val="62D94D4D"/>
    <w:rsid w:val="62D96048"/>
    <w:rsid w:val="62E4645C"/>
    <w:rsid w:val="63191A25"/>
    <w:rsid w:val="63310878"/>
    <w:rsid w:val="6345230B"/>
    <w:rsid w:val="634F53BF"/>
    <w:rsid w:val="63596F4F"/>
    <w:rsid w:val="635A009E"/>
    <w:rsid w:val="636D7146"/>
    <w:rsid w:val="63747001"/>
    <w:rsid w:val="63851157"/>
    <w:rsid w:val="63921F7C"/>
    <w:rsid w:val="63AA6601"/>
    <w:rsid w:val="63C167C4"/>
    <w:rsid w:val="63C352CC"/>
    <w:rsid w:val="63D62537"/>
    <w:rsid w:val="63FF7AFD"/>
    <w:rsid w:val="64063AB3"/>
    <w:rsid w:val="64266434"/>
    <w:rsid w:val="64465F50"/>
    <w:rsid w:val="64512652"/>
    <w:rsid w:val="645E5EB2"/>
    <w:rsid w:val="647019B6"/>
    <w:rsid w:val="64793B7A"/>
    <w:rsid w:val="64862BCA"/>
    <w:rsid w:val="64922CC1"/>
    <w:rsid w:val="64B24870"/>
    <w:rsid w:val="64B90769"/>
    <w:rsid w:val="64C8170B"/>
    <w:rsid w:val="64C86BB1"/>
    <w:rsid w:val="64CD7ABE"/>
    <w:rsid w:val="64DA70A2"/>
    <w:rsid w:val="64E80ED4"/>
    <w:rsid w:val="64E8350D"/>
    <w:rsid w:val="64EE503C"/>
    <w:rsid w:val="64F878E4"/>
    <w:rsid w:val="650461EE"/>
    <w:rsid w:val="650F4DA6"/>
    <w:rsid w:val="651027B1"/>
    <w:rsid w:val="65411806"/>
    <w:rsid w:val="65675BF5"/>
    <w:rsid w:val="657D326A"/>
    <w:rsid w:val="657D6686"/>
    <w:rsid w:val="657D7DA4"/>
    <w:rsid w:val="657E399C"/>
    <w:rsid w:val="658F4DF0"/>
    <w:rsid w:val="65BE5ADE"/>
    <w:rsid w:val="65C90BF6"/>
    <w:rsid w:val="65EE01D0"/>
    <w:rsid w:val="65F03DF1"/>
    <w:rsid w:val="65F412D3"/>
    <w:rsid w:val="6622549F"/>
    <w:rsid w:val="66291CDA"/>
    <w:rsid w:val="662D17DB"/>
    <w:rsid w:val="663410C5"/>
    <w:rsid w:val="663440A7"/>
    <w:rsid w:val="663E0A2F"/>
    <w:rsid w:val="664727F5"/>
    <w:rsid w:val="667749A0"/>
    <w:rsid w:val="667F5ADD"/>
    <w:rsid w:val="668A5D05"/>
    <w:rsid w:val="66B37D92"/>
    <w:rsid w:val="66B86295"/>
    <w:rsid w:val="66E90DA9"/>
    <w:rsid w:val="66F9381B"/>
    <w:rsid w:val="67324BB7"/>
    <w:rsid w:val="67442027"/>
    <w:rsid w:val="67561041"/>
    <w:rsid w:val="67675F76"/>
    <w:rsid w:val="677151A3"/>
    <w:rsid w:val="67837124"/>
    <w:rsid w:val="6794704A"/>
    <w:rsid w:val="67E26B97"/>
    <w:rsid w:val="68011C0C"/>
    <w:rsid w:val="680A48DD"/>
    <w:rsid w:val="68201AF3"/>
    <w:rsid w:val="683E117C"/>
    <w:rsid w:val="684103C7"/>
    <w:rsid w:val="684E0A5A"/>
    <w:rsid w:val="685E7EA8"/>
    <w:rsid w:val="68606448"/>
    <w:rsid w:val="68B22336"/>
    <w:rsid w:val="68DB2521"/>
    <w:rsid w:val="690F0ADD"/>
    <w:rsid w:val="69250DC4"/>
    <w:rsid w:val="692826B7"/>
    <w:rsid w:val="692A6B55"/>
    <w:rsid w:val="693C3024"/>
    <w:rsid w:val="69505432"/>
    <w:rsid w:val="695C5518"/>
    <w:rsid w:val="69635503"/>
    <w:rsid w:val="698327B2"/>
    <w:rsid w:val="6985053D"/>
    <w:rsid w:val="69936A5C"/>
    <w:rsid w:val="699C7911"/>
    <w:rsid w:val="69A051F6"/>
    <w:rsid w:val="69A45385"/>
    <w:rsid w:val="69AC584D"/>
    <w:rsid w:val="69BC3629"/>
    <w:rsid w:val="69D307BE"/>
    <w:rsid w:val="69E16DD5"/>
    <w:rsid w:val="69EE0426"/>
    <w:rsid w:val="69F1668F"/>
    <w:rsid w:val="69F83303"/>
    <w:rsid w:val="69FF4345"/>
    <w:rsid w:val="6A0E2414"/>
    <w:rsid w:val="6A1871D7"/>
    <w:rsid w:val="6A2E7068"/>
    <w:rsid w:val="6A306641"/>
    <w:rsid w:val="6A5C3321"/>
    <w:rsid w:val="6A727415"/>
    <w:rsid w:val="6AA71C1C"/>
    <w:rsid w:val="6AB14D18"/>
    <w:rsid w:val="6ABB4B13"/>
    <w:rsid w:val="6ABD0227"/>
    <w:rsid w:val="6AD2649C"/>
    <w:rsid w:val="6AEA481D"/>
    <w:rsid w:val="6AF26E52"/>
    <w:rsid w:val="6AFF32FE"/>
    <w:rsid w:val="6B13329C"/>
    <w:rsid w:val="6B23180C"/>
    <w:rsid w:val="6B403242"/>
    <w:rsid w:val="6B4757DD"/>
    <w:rsid w:val="6B5875D4"/>
    <w:rsid w:val="6B5F7EC7"/>
    <w:rsid w:val="6B624DA0"/>
    <w:rsid w:val="6B7A059A"/>
    <w:rsid w:val="6B8250D9"/>
    <w:rsid w:val="6B8E0ECB"/>
    <w:rsid w:val="6BA14B68"/>
    <w:rsid w:val="6BA825BA"/>
    <w:rsid w:val="6BAD01F3"/>
    <w:rsid w:val="6BB90CAA"/>
    <w:rsid w:val="6BBC4875"/>
    <w:rsid w:val="6BBE27FB"/>
    <w:rsid w:val="6BC63D44"/>
    <w:rsid w:val="6BED692F"/>
    <w:rsid w:val="6BF46CFB"/>
    <w:rsid w:val="6C031CBB"/>
    <w:rsid w:val="6C0E1756"/>
    <w:rsid w:val="6C0E3D1B"/>
    <w:rsid w:val="6C0F563A"/>
    <w:rsid w:val="6C2A4421"/>
    <w:rsid w:val="6C4433CA"/>
    <w:rsid w:val="6C592E25"/>
    <w:rsid w:val="6C615B03"/>
    <w:rsid w:val="6C635F46"/>
    <w:rsid w:val="6C6E2AA0"/>
    <w:rsid w:val="6C8F6331"/>
    <w:rsid w:val="6C904A3C"/>
    <w:rsid w:val="6C9540E1"/>
    <w:rsid w:val="6CA31FF5"/>
    <w:rsid w:val="6CB17302"/>
    <w:rsid w:val="6CBC61BF"/>
    <w:rsid w:val="6CCD7863"/>
    <w:rsid w:val="6CD26C58"/>
    <w:rsid w:val="6CE1161F"/>
    <w:rsid w:val="6CEA73AD"/>
    <w:rsid w:val="6D03064D"/>
    <w:rsid w:val="6D0F0142"/>
    <w:rsid w:val="6D1C7EF6"/>
    <w:rsid w:val="6D2116A3"/>
    <w:rsid w:val="6D230547"/>
    <w:rsid w:val="6D3A1531"/>
    <w:rsid w:val="6D476C1F"/>
    <w:rsid w:val="6D4D0B63"/>
    <w:rsid w:val="6D7014BC"/>
    <w:rsid w:val="6D9415CF"/>
    <w:rsid w:val="6DB741E1"/>
    <w:rsid w:val="6DC81121"/>
    <w:rsid w:val="6DCA3DA3"/>
    <w:rsid w:val="6DE36AF7"/>
    <w:rsid w:val="6E187EFE"/>
    <w:rsid w:val="6E1A5B08"/>
    <w:rsid w:val="6E275A87"/>
    <w:rsid w:val="6E4D289A"/>
    <w:rsid w:val="6E4D5CF9"/>
    <w:rsid w:val="6E591791"/>
    <w:rsid w:val="6E9C6D02"/>
    <w:rsid w:val="6EC85841"/>
    <w:rsid w:val="6ECE1116"/>
    <w:rsid w:val="6EF9477B"/>
    <w:rsid w:val="6EFA6459"/>
    <w:rsid w:val="6EFF230D"/>
    <w:rsid w:val="6F0D2199"/>
    <w:rsid w:val="6F305E87"/>
    <w:rsid w:val="6F360335"/>
    <w:rsid w:val="6F4958C8"/>
    <w:rsid w:val="6F4F766F"/>
    <w:rsid w:val="6F613DF3"/>
    <w:rsid w:val="6F865AA7"/>
    <w:rsid w:val="6FC94D11"/>
    <w:rsid w:val="6FCF6F43"/>
    <w:rsid w:val="6FD41822"/>
    <w:rsid w:val="6FE801B8"/>
    <w:rsid w:val="6FF61AC7"/>
    <w:rsid w:val="700375D2"/>
    <w:rsid w:val="700F3884"/>
    <w:rsid w:val="70207F38"/>
    <w:rsid w:val="70295855"/>
    <w:rsid w:val="703709CF"/>
    <w:rsid w:val="703A5210"/>
    <w:rsid w:val="704F0DE9"/>
    <w:rsid w:val="70523492"/>
    <w:rsid w:val="70570625"/>
    <w:rsid w:val="705F4112"/>
    <w:rsid w:val="706135C0"/>
    <w:rsid w:val="70697238"/>
    <w:rsid w:val="706B1C8D"/>
    <w:rsid w:val="70710597"/>
    <w:rsid w:val="707B6859"/>
    <w:rsid w:val="70911841"/>
    <w:rsid w:val="7097738E"/>
    <w:rsid w:val="70A270EA"/>
    <w:rsid w:val="70A565BE"/>
    <w:rsid w:val="70AE55BC"/>
    <w:rsid w:val="70B95603"/>
    <w:rsid w:val="70BB7411"/>
    <w:rsid w:val="70C018EE"/>
    <w:rsid w:val="70DC0CFB"/>
    <w:rsid w:val="70EB4FFC"/>
    <w:rsid w:val="70FC5C9B"/>
    <w:rsid w:val="710B5571"/>
    <w:rsid w:val="711204C2"/>
    <w:rsid w:val="711B61A1"/>
    <w:rsid w:val="711C658C"/>
    <w:rsid w:val="71551341"/>
    <w:rsid w:val="715725E4"/>
    <w:rsid w:val="71586A68"/>
    <w:rsid w:val="715B0A4B"/>
    <w:rsid w:val="71603704"/>
    <w:rsid w:val="71791D02"/>
    <w:rsid w:val="717A2CE8"/>
    <w:rsid w:val="717C2B97"/>
    <w:rsid w:val="718D461D"/>
    <w:rsid w:val="71A04797"/>
    <w:rsid w:val="71A659B3"/>
    <w:rsid w:val="71AD27B7"/>
    <w:rsid w:val="71BD2E8E"/>
    <w:rsid w:val="71BF5017"/>
    <w:rsid w:val="72012E5A"/>
    <w:rsid w:val="72266B55"/>
    <w:rsid w:val="72316C88"/>
    <w:rsid w:val="723568F5"/>
    <w:rsid w:val="72454D5B"/>
    <w:rsid w:val="724D7F47"/>
    <w:rsid w:val="72552BC9"/>
    <w:rsid w:val="72561B7C"/>
    <w:rsid w:val="727609A9"/>
    <w:rsid w:val="7279413F"/>
    <w:rsid w:val="729A1662"/>
    <w:rsid w:val="72C94DB9"/>
    <w:rsid w:val="72D4339E"/>
    <w:rsid w:val="72D63BC1"/>
    <w:rsid w:val="72E173F4"/>
    <w:rsid w:val="72F316A6"/>
    <w:rsid w:val="72FB4245"/>
    <w:rsid w:val="73157FC9"/>
    <w:rsid w:val="73195DC0"/>
    <w:rsid w:val="7319692A"/>
    <w:rsid w:val="731C3E00"/>
    <w:rsid w:val="732A2120"/>
    <w:rsid w:val="733A75A5"/>
    <w:rsid w:val="734A739D"/>
    <w:rsid w:val="73577F60"/>
    <w:rsid w:val="736076B7"/>
    <w:rsid w:val="73753C04"/>
    <w:rsid w:val="7382626A"/>
    <w:rsid w:val="739617DB"/>
    <w:rsid w:val="73B5756E"/>
    <w:rsid w:val="73BD032D"/>
    <w:rsid w:val="73C25453"/>
    <w:rsid w:val="73CD2F31"/>
    <w:rsid w:val="73E72FCC"/>
    <w:rsid w:val="73FC226C"/>
    <w:rsid w:val="74084461"/>
    <w:rsid w:val="740D0A3E"/>
    <w:rsid w:val="740D5FE0"/>
    <w:rsid w:val="743B50B2"/>
    <w:rsid w:val="744131FC"/>
    <w:rsid w:val="744A2177"/>
    <w:rsid w:val="748B4324"/>
    <w:rsid w:val="74B15DAA"/>
    <w:rsid w:val="74F84FA0"/>
    <w:rsid w:val="75041D09"/>
    <w:rsid w:val="75057EAD"/>
    <w:rsid w:val="75196D42"/>
    <w:rsid w:val="75302ED2"/>
    <w:rsid w:val="75347127"/>
    <w:rsid w:val="753F3B44"/>
    <w:rsid w:val="754212ED"/>
    <w:rsid w:val="75425782"/>
    <w:rsid w:val="754D75BD"/>
    <w:rsid w:val="754F3A5A"/>
    <w:rsid w:val="75503806"/>
    <w:rsid w:val="755258E9"/>
    <w:rsid w:val="758F014E"/>
    <w:rsid w:val="75BC56EB"/>
    <w:rsid w:val="75C461A3"/>
    <w:rsid w:val="75D732ED"/>
    <w:rsid w:val="75E54909"/>
    <w:rsid w:val="75EE74CC"/>
    <w:rsid w:val="75FA5F65"/>
    <w:rsid w:val="760D18BE"/>
    <w:rsid w:val="762F6E99"/>
    <w:rsid w:val="7631229C"/>
    <w:rsid w:val="76352800"/>
    <w:rsid w:val="76361C2C"/>
    <w:rsid w:val="763A56DC"/>
    <w:rsid w:val="764B6BFF"/>
    <w:rsid w:val="764D4B3C"/>
    <w:rsid w:val="766760F0"/>
    <w:rsid w:val="76953311"/>
    <w:rsid w:val="76A74C81"/>
    <w:rsid w:val="76AA0F89"/>
    <w:rsid w:val="76CE3391"/>
    <w:rsid w:val="76D438CD"/>
    <w:rsid w:val="76DE6468"/>
    <w:rsid w:val="771472D9"/>
    <w:rsid w:val="77156FF2"/>
    <w:rsid w:val="77280312"/>
    <w:rsid w:val="772C4919"/>
    <w:rsid w:val="774C3449"/>
    <w:rsid w:val="7750602B"/>
    <w:rsid w:val="776922C5"/>
    <w:rsid w:val="776A5D31"/>
    <w:rsid w:val="77932B47"/>
    <w:rsid w:val="779F43F4"/>
    <w:rsid w:val="77A53373"/>
    <w:rsid w:val="77BE6A79"/>
    <w:rsid w:val="77CD1009"/>
    <w:rsid w:val="78074F8A"/>
    <w:rsid w:val="78212D05"/>
    <w:rsid w:val="782555FC"/>
    <w:rsid w:val="7840273E"/>
    <w:rsid w:val="78472F0D"/>
    <w:rsid w:val="78514642"/>
    <w:rsid w:val="787D5333"/>
    <w:rsid w:val="789B4E9D"/>
    <w:rsid w:val="78BC688F"/>
    <w:rsid w:val="78C944B4"/>
    <w:rsid w:val="78D12489"/>
    <w:rsid w:val="78D773D4"/>
    <w:rsid w:val="78E82D31"/>
    <w:rsid w:val="78FA7AB7"/>
    <w:rsid w:val="790F13C6"/>
    <w:rsid w:val="79144124"/>
    <w:rsid w:val="79182F53"/>
    <w:rsid w:val="79191C5D"/>
    <w:rsid w:val="791B44CD"/>
    <w:rsid w:val="792F1093"/>
    <w:rsid w:val="793861FE"/>
    <w:rsid w:val="793F7894"/>
    <w:rsid w:val="79704E42"/>
    <w:rsid w:val="79865A13"/>
    <w:rsid w:val="79936D76"/>
    <w:rsid w:val="79AE49CC"/>
    <w:rsid w:val="79F22DC6"/>
    <w:rsid w:val="7A044AE6"/>
    <w:rsid w:val="7A0A6EA4"/>
    <w:rsid w:val="7A0E32E7"/>
    <w:rsid w:val="7A1C78AE"/>
    <w:rsid w:val="7A1E4FE4"/>
    <w:rsid w:val="7A31098A"/>
    <w:rsid w:val="7A332C85"/>
    <w:rsid w:val="7A3A18A5"/>
    <w:rsid w:val="7A5639F3"/>
    <w:rsid w:val="7A7838B2"/>
    <w:rsid w:val="7A8C43C5"/>
    <w:rsid w:val="7A956F1C"/>
    <w:rsid w:val="7A995B18"/>
    <w:rsid w:val="7ABA7C0B"/>
    <w:rsid w:val="7ABB699B"/>
    <w:rsid w:val="7AD77157"/>
    <w:rsid w:val="7ADE38EA"/>
    <w:rsid w:val="7AE97FC9"/>
    <w:rsid w:val="7B083624"/>
    <w:rsid w:val="7B1416DE"/>
    <w:rsid w:val="7B18614D"/>
    <w:rsid w:val="7B35024E"/>
    <w:rsid w:val="7B397845"/>
    <w:rsid w:val="7B3A2568"/>
    <w:rsid w:val="7B4927AB"/>
    <w:rsid w:val="7B6A048A"/>
    <w:rsid w:val="7B7966DA"/>
    <w:rsid w:val="7B7F30C8"/>
    <w:rsid w:val="7B8160C1"/>
    <w:rsid w:val="7B9D6E6D"/>
    <w:rsid w:val="7BC309C1"/>
    <w:rsid w:val="7BDD4DC1"/>
    <w:rsid w:val="7BE27FAD"/>
    <w:rsid w:val="7BF14AC2"/>
    <w:rsid w:val="7BF33E3F"/>
    <w:rsid w:val="7C014A6A"/>
    <w:rsid w:val="7C026FAD"/>
    <w:rsid w:val="7C122B9D"/>
    <w:rsid w:val="7C3E6EA7"/>
    <w:rsid w:val="7C595D0B"/>
    <w:rsid w:val="7C863F14"/>
    <w:rsid w:val="7C874721"/>
    <w:rsid w:val="7C891956"/>
    <w:rsid w:val="7C927CB0"/>
    <w:rsid w:val="7C941B29"/>
    <w:rsid w:val="7CB26D0F"/>
    <w:rsid w:val="7CB345B7"/>
    <w:rsid w:val="7CCC3402"/>
    <w:rsid w:val="7CD36F0B"/>
    <w:rsid w:val="7CEA4545"/>
    <w:rsid w:val="7CF61C1B"/>
    <w:rsid w:val="7CFA6D49"/>
    <w:rsid w:val="7D026308"/>
    <w:rsid w:val="7D0F232E"/>
    <w:rsid w:val="7D0F6CAA"/>
    <w:rsid w:val="7D1E31A6"/>
    <w:rsid w:val="7D3D725C"/>
    <w:rsid w:val="7D4F3B1F"/>
    <w:rsid w:val="7D5533AB"/>
    <w:rsid w:val="7D644147"/>
    <w:rsid w:val="7D731B1B"/>
    <w:rsid w:val="7D8A3031"/>
    <w:rsid w:val="7D975F44"/>
    <w:rsid w:val="7DA135FE"/>
    <w:rsid w:val="7DB326B5"/>
    <w:rsid w:val="7DB76B55"/>
    <w:rsid w:val="7DBB3F42"/>
    <w:rsid w:val="7DBB7EC4"/>
    <w:rsid w:val="7DC14088"/>
    <w:rsid w:val="7DC56E6C"/>
    <w:rsid w:val="7DCC51FF"/>
    <w:rsid w:val="7DCC7653"/>
    <w:rsid w:val="7DCE3900"/>
    <w:rsid w:val="7DDF7771"/>
    <w:rsid w:val="7DE205E1"/>
    <w:rsid w:val="7DF64074"/>
    <w:rsid w:val="7E14248D"/>
    <w:rsid w:val="7E3771C0"/>
    <w:rsid w:val="7E6A4B9F"/>
    <w:rsid w:val="7E933D3D"/>
    <w:rsid w:val="7EA157C3"/>
    <w:rsid w:val="7EBB11A2"/>
    <w:rsid w:val="7EBE348A"/>
    <w:rsid w:val="7ED450EE"/>
    <w:rsid w:val="7EE34F62"/>
    <w:rsid w:val="7EE7623D"/>
    <w:rsid w:val="7EEA00FE"/>
    <w:rsid w:val="7EEA29BA"/>
    <w:rsid w:val="7F016EF9"/>
    <w:rsid w:val="7F2245D4"/>
    <w:rsid w:val="7F477616"/>
    <w:rsid w:val="7F494090"/>
    <w:rsid w:val="7F66186E"/>
    <w:rsid w:val="7F8A12B3"/>
    <w:rsid w:val="7F8E4A90"/>
    <w:rsid w:val="7F9E0D84"/>
    <w:rsid w:val="7FA30DD5"/>
    <w:rsid w:val="7FA34365"/>
    <w:rsid w:val="7FB55CE0"/>
    <w:rsid w:val="7FD75419"/>
    <w:rsid w:val="7FEE2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unhideWhenUsed/>
    <w:qFormat/>
    <w:uiPriority w:val="99"/>
    <w:pPr>
      <w:spacing w:after="120"/>
    </w:pPr>
    <w:rPr>
      <w:rFonts w:ascii="Calibri" w:hAnsi="Calibri"/>
    </w:rPr>
  </w:style>
  <w:style w:type="paragraph" w:styleId="3">
    <w:name w:val="Body Text First Indent"/>
    <w:basedOn w:val="2"/>
    <w:link w:val="15"/>
    <w:unhideWhenUsed/>
    <w:qFormat/>
    <w:uiPriority w:val="99"/>
    <w:pPr>
      <w:widowControl/>
      <w:adjustRightInd w:val="0"/>
      <w:snapToGrid w:val="0"/>
      <w:spacing w:after="200"/>
      <w:ind w:firstLine="420"/>
      <w:jc w:val="left"/>
    </w:pPr>
    <w:rPr>
      <w:rFonts w:ascii="Tahoma" w:hAnsi="Tahoma"/>
      <w:sz w:val="22"/>
    </w:rPr>
  </w:style>
  <w:style w:type="paragraph" w:styleId="4">
    <w:name w:val="Body Text Indent"/>
    <w:basedOn w:val="1"/>
    <w:next w:val="2"/>
    <w:link w:val="16"/>
    <w:qFormat/>
    <w:uiPriority w:val="99"/>
    <w:pPr>
      <w:spacing w:after="120"/>
      <w:ind w:left="420" w:leftChars="200"/>
    </w:pPr>
    <w:rPr>
      <w:rFonts w:ascii="Calibri" w:hAnsi="Calibri"/>
    </w:rPr>
  </w:style>
  <w:style w:type="paragraph" w:styleId="5">
    <w:name w:val="Date"/>
    <w:basedOn w:val="1"/>
    <w:next w:val="1"/>
    <w:link w:val="17"/>
    <w:qFormat/>
    <w:uiPriority w:val="0"/>
    <w:pPr>
      <w:ind w:left="100" w:leftChars="2500"/>
    </w:pPr>
  </w:style>
  <w:style w:type="paragraph" w:styleId="6">
    <w:name w:val="Body Text Indent 2"/>
    <w:basedOn w:val="1"/>
    <w:next w:val="1"/>
    <w:link w:val="18"/>
    <w:qFormat/>
    <w:uiPriority w:val="0"/>
    <w:rPr>
      <w:rFonts w:ascii="Calibri" w:hAnsi="Calibri"/>
    </w:rPr>
  </w:style>
  <w:style w:type="paragraph" w:styleId="7">
    <w:name w:val="footer"/>
    <w:basedOn w:val="1"/>
    <w:link w:val="19"/>
    <w:qFormat/>
    <w:uiPriority w:val="0"/>
    <w:pPr>
      <w:tabs>
        <w:tab w:val="center" w:pos="4153"/>
        <w:tab w:val="right" w:pos="8306"/>
      </w:tabs>
      <w:snapToGrid w:val="0"/>
      <w:jc w:val="left"/>
    </w:pPr>
    <w:rPr>
      <w:sz w:val="18"/>
    </w:rPr>
  </w:style>
  <w:style w:type="paragraph" w:styleId="8">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ascii="Calibri" w:hAnsi="Calibri"/>
      <w:kern w:val="0"/>
      <w:sz w:val="24"/>
    </w:rPr>
  </w:style>
  <w:style w:type="paragraph" w:styleId="10">
    <w:name w:val="Body Text First Indent 2"/>
    <w:basedOn w:val="4"/>
    <w:next w:val="3"/>
    <w:link w:val="21"/>
    <w:qFormat/>
    <w:uiPriority w:val="0"/>
    <w:pPr>
      <w:ind w:firstLine="420" w:firstLineChars="200"/>
    </w:pPr>
  </w:style>
  <w:style w:type="character" w:styleId="13">
    <w:name w:val="Strong"/>
    <w:basedOn w:val="12"/>
    <w:qFormat/>
    <w:uiPriority w:val="0"/>
    <w:rPr>
      <w:b/>
    </w:rPr>
  </w:style>
  <w:style w:type="character" w:customStyle="1" w:styleId="14">
    <w:name w:val="正文文本 Char"/>
    <w:link w:val="2"/>
    <w:qFormat/>
    <w:uiPriority w:val="99"/>
    <w:rPr>
      <w:rFonts w:ascii="Calibri" w:hAnsi="Calibri"/>
      <w:kern w:val="2"/>
      <w:sz w:val="21"/>
      <w:szCs w:val="24"/>
    </w:rPr>
  </w:style>
  <w:style w:type="character" w:customStyle="1" w:styleId="15">
    <w:name w:val="正文首行缩进 Char"/>
    <w:link w:val="3"/>
    <w:qFormat/>
    <w:uiPriority w:val="99"/>
    <w:rPr>
      <w:rFonts w:ascii="Tahoma" w:hAnsi="Tahoma"/>
      <w:kern w:val="2"/>
      <w:sz w:val="22"/>
      <w:szCs w:val="24"/>
    </w:rPr>
  </w:style>
  <w:style w:type="character" w:customStyle="1" w:styleId="16">
    <w:name w:val="正文文本缩进 Char"/>
    <w:link w:val="4"/>
    <w:qFormat/>
    <w:uiPriority w:val="99"/>
    <w:rPr>
      <w:rFonts w:ascii="Calibri" w:hAnsi="Calibri"/>
      <w:kern w:val="2"/>
      <w:sz w:val="21"/>
      <w:szCs w:val="24"/>
    </w:rPr>
  </w:style>
  <w:style w:type="character" w:customStyle="1" w:styleId="17">
    <w:name w:val="日期 Char"/>
    <w:link w:val="5"/>
    <w:qFormat/>
    <w:uiPriority w:val="0"/>
    <w:rPr>
      <w:kern w:val="2"/>
      <w:sz w:val="21"/>
      <w:szCs w:val="24"/>
    </w:rPr>
  </w:style>
  <w:style w:type="character" w:customStyle="1" w:styleId="18">
    <w:name w:val="正文文本缩进 2 Char"/>
    <w:link w:val="6"/>
    <w:qFormat/>
    <w:uiPriority w:val="0"/>
    <w:rPr>
      <w:rFonts w:ascii="Calibri" w:hAnsi="Calibri"/>
      <w:kern w:val="2"/>
      <w:sz w:val="21"/>
      <w:szCs w:val="24"/>
    </w:rPr>
  </w:style>
  <w:style w:type="character" w:customStyle="1" w:styleId="19">
    <w:name w:val="页脚 Char"/>
    <w:link w:val="7"/>
    <w:qFormat/>
    <w:uiPriority w:val="0"/>
    <w:rPr>
      <w:kern w:val="2"/>
      <w:sz w:val="18"/>
      <w:szCs w:val="24"/>
    </w:rPr>
  </w:style>
  <w:style w:type="character" w:customStyle="1" w:styleId="20">
    <w:name w:val="页眉 Char"/>
    <w:link w:val="8"/>
    <w:qFormat/>
    <w:uiPriority w:val="0"/>
    <w:rPr>
      <w:kern w:val="2"/>
      <w:sz w:val="18"/>
      <w:szCs w:val="24"/>
    </w:rPr>
  </w:style>
  <w:style w:type="character" w:customStyle="1" w:styleId="21">
    <w:name w:val="正文首行缩进 2 Char"/>
    <w:basedOn w:val="16"/>
    <w:link w:val="10"/>
    <w:qFormat/>
    <w:uiPriority w:val="0"/>
  </w:style>
  <w:style w:type="paragraph" w:customStyle="1" w:styleId="22">
    <w:name w:val="p_text_indent_2"/>
    <w:basedOn w:val="1"/>
    <w:qFormat/>
    <w:uiPriority w:val="0"/>
    <w:pPr>
      <w:ind w:firstLine="420"/>
      <w:jc w:val="left"/>
    </w:pPr>
    <w:rPr>
      <w:rFonts w:ascii="Calibri" w:hAnsi="Calibri"/>
      <w:kern w:val="0"/>
    </w:rPr>
  </w:style>
  <w:style w:type="character" w:customStyle="1" w:styleId="23">
    <w:name w:val="NormalCharacter"/>
    <w:qFormat/>
    <w:uiPriority w:val="0"/>
  </w:style>
  <w:style w:type="character" w:customStyle="1" w:styleId="24">
    <w:name w:val="正文文本_"/>
    <w:link w:val="25"/>
    <w:qFormat/>
    <w:uiPriority w:val="0"/>
    <w:rPr>
      <w:rFonts w:ascii="MingLiU" w:hAnsi="MingLiU" w:eastAsia="MingLiU" w:cs="MingLiU"/>
      <w:sz w:val="28"/>
      <w:szCs w:val="28"/>
      <w:shd w:val="clear" w:color="auto" w:fill="FFFFFF"/>
      <w:lang w:val="zh-CN" w:bidi="zh-CN"/>
    </w:rPr>
  </w:style>
  <w:style w:type="paragraph" w:customStyle="1" w:styleId="25">
    <w:name w:val="正文文本1"/>
    <w:basedOn w:val="1"/>
    <w:link w:val="24"/>
    <w:qFormat/>
    <w:uiPriority w:val="0"/>
    <w:pPr>
      <w:shd w:val="clear" w:color="auto" w:fill="FFFFFF"/>
      <w:spacing w:line="427" w:lineRule="auto"/>
      <w:ind w:firstLine="400"/>
      <w:jc w:val="left"/>
    </w:pPr>
    <w:rPr>
      <w:rFonts w:ascii="MingLiU" w:hAnsi="MingLiU" w:eastAsia="MingLiU" w:cs="MingLiU"/>
      <w:kern w:val="0"/>
      <w:sz w:val="28"/>
      <w:szCs w:val="28"/>
      <w:lang w:val="zh-CN" w:bidi="zh-CN"/>
    </w:rPr>
  </w:style>
  <w:style w:type="character" w:customStyle="1" w:styleId="26">
    <w:name w:val="标题 #1_"/>
    <w:link w:val="27"/>
    <w:qFormat/>
    <w:uiPriority w:val="0"/>
    <w:rPr>
      <w:rFonts w:ascii="MingLiU" w:hAnsi="MingLiU" w:eastAsia="MingLiU" w:cs="MingLiU"/>
      <w:sz w:val="42"/>
      <w:szCs w:val="42"/>
      <w:shd w:val="clear" w:color="auto" w:fill="FFFFFF"/>
      <w:lang w:val="zh-CN" w:bidi="zh-CN"/>
    </w:rPr>
  </w:style>
  <w:style w:type="paragraph" w:customStyle="1" w:styleId="27">
    <w:name w:val="标题 #1"/>
    <w:basedOn w:val="1"/>
    <w:link w:val="26"/>
    <w:qFormat/>
    <w:uiPriority w:val="0"/>
    <w:pPr>
      <w:shd w:val="clear" w:color="auto" w:fill="FFFFFF"/>
      <w:spacing w:after="570" w:line="286" w:lineRule="auto"/>
      <w:jc w:val="center"/>
      <w:outlineLvl w:val="0"/>
    </w:pPr>
    <w:rPr>
      <w:rFonts w:ascii="MingLiU" w:hAnsi="MingLiU" w:eastAsia="MingLiU" w:cs="MingLiU"/>
      <w:kern w:val="0"/>
      <w:sz w:val="42"/>
      <w:szCs w:val="42"/>
      <w:lang w:val="zh-CN" w:bidi="zh-CN"/>
    </w:rPr>
  </w:style>
  <w:style w:type="character" w:customStyle="1" w:styleId="28">
    <w:name w:val="font21"/>
    <w:basedOn w:val="12"/>
    <w:qFormat/>
    <w:uiPriority w:val="0"/>
    <w:rPr>
      <w:rFonts w:ascii="仿宋_GB2312" w:eastAsia="仿宋_GB2312" w:cs="仿宋_GB2312"/>
      <w:color w:val="000000"/>
      <w:sz w:val="20"/>
      <w:szCs w:val="20"/>
      <w:u w:val="none"/>
    </w:rPr>
  </w:style>
  <w:style w:type="character" w:customStyle="1" w:styleId="29">
    <w:name w:val="font11"/>
    <w:basedOn w:val="12"/>
    <w:qFormat/>
    <w:uiPriority w:val="0"/>
    <w:rPr>
      <w:rFonts w:hint="default" w:ascii="Times New Roman" w:hAnsi="Times New Roman" w:cs="Times New Roman"/>
      <w:color w:val="000000"/>
      <w:sz w:val="20"/>
      <w:szCs w:val="20"/>
      <w:u w:val="none"/>
    </w:rPr>
  </w:style>
  <w:style w:type="character" w:customStyle="1" w:styleId="30">
    <w:name w:val="font31"/>
    <w:basedOn w:val="12"/>
    <w:qFormat/>
    <w:uiPriority w:val="0"/>
    <w:rPr>
      <w:rFonts w:hint="eastAsia" w:ascii="仿宋_GB2312" w:eastAsia="仿宋_GB2312" w:cs="仿宋_GB2312"/>
      <w:color w:val="FF0000"/>
      <w:sz w:val="20"/>
      <w:szCs w:val="20"/>
      <w:u w:val="none"/>
    </w:rPr>
  </w:style>
  <w:style w:type="character" w:customStyle="1" w:styleId="31">
    <w:name w:val="font41"/>
    <w:basedOn w:val="12"/>
    <w:qFormat/>
    <w:uiPriority w:val="0"/>
    <w:rPr>
      <w:rFonts w:hint="default" w:ascii="Times New Roman" w:hAnsi="Times New Roman" w:cs="Times New Roman"/>
      <w:color w:val="000000"/>
      <w:sz w:val="20"/>
      <w:szCs w:val="20"/>
      <w:u w:val="none"/>
    </w:rPr>
  </w:style>
  <w:style w:type="character" w:customStyle="1" w:styleId="32">
    <w:name w:val="font6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45F6-FF3C-43E6-8745-E039AA752F6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84453</Words>
  <Characters>481385</Characters>
  <Lines>4011</Lines>
  <Paragraphs>1129</Paragraphs>
  <TotalTime>5</TotalTime>
  <ScaleCrop>false</ScaleCrop>
  <LinksUpToDate>false</LinksUpToDate>
  <CharactersWithSpaces>564709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2023-12-15T09:04:00Z</dcterms:created>
  <dc:creator>微软中国</dc:creator>
  <cp:lastModifiedBy>杨</cp:lastModifiedBy>
  <cp:lastPrinted>2023-12-18T03:53:00Z</cp:lastPrinted>
  <dcterms:modified xsi:type="dcterms:W3CDTF">2023-12-19T09:45:19Z</dcterms:modified>
  <dc:title>石河子镇辖区内村集体土地及村民</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12054FBEF1B84256811478BC361E6732_13</vt:lpwstr>
  </property>
</Properties>
</file>